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B1283" w14:textId="77777777" w:rsidR="00DA7CCB" w:rsidRDefault="00DA7CCB" w:rsidP="00DA7CCB">
      <w:pPr>
        <w:pStyle w:val="Header"/>
        <w:widowControl w:val="0"/>
        <w:tabs>
          <w:tab w:val="right" w:pos="9781"/>
        </w:tabs>
        <w:ind w:right="-58"/>
        <w:jc w:val="left"/>
        <w:rPr>
          <w:rFonts w:ascii="Arial" w:eastAsia="MS Mincho" w:hAnsi="Arial" w:cs="Arial"/>
          <w:b/>
          <w:bCs/>
          <w:sz w:val="28"/>
          <w:lang w:eastAsia="ja-JP"/>
        </w:rPr>
      </w:pPr>
      <w:r>
        <w:rPr>
          <w:rFonts w:ascii="Arial" w:hAnsi="Arial" w:cs="Arial"/>
          <w:b/>
          <w:bCs/>
          <w:sz w:val="28"/>
        </w:rPr>
        <w:t>3GPP TSG RAN WG1 Meeting #</w:t>
      </w:r>
      <w:r w:rsidR="00747231">
        <w:rPr>
          <w:rFonts w:ascii="Arial" w:hAnsi="Arial" w:cs="Arial"/>
          <w:b/>
          <w:bCs/>
          <w:sz w:val="28"/>
        </w:rPr>
        <w:t>86b</w:t>
      </w:r>
      <w:r w:rsidR="00B50DD2">
        <w:rPr>
          <w:rFonts w:ascii="Arial" w:hAnsi="Arial" w:cs="Arial"/>
          <w:b/>
          <w:bCs/>
          <w:sz w:val="28"/>
        </w:rPr>
        <w:t xml:space="preserve"> </w:t>
      </w:r>
      <w:r w:rsidR="00B50DD2">
        <w:rPr>
          <w:rFonts w:ascii="Arial" w:hAnsi="Arial" w:cs="Arial"/>
          <w:b/>
          <w:bCs/>
          <w:sz w:val="28"/>
        </w:rPr>
        <w:tab/>
        <w:t>R1-1610159</w:t>
      </w:r>
    </w:p>
    <w:p w14:paraId="6A5200A2" w14:textId="77777777" w:rsidR="00DA7CCB" w:rsidRPr="00F5408F" w:rsidRDefault="00B50DD2" w:rsidP="00DA7CCB">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 xml:space="preserve">Lisbon, Portugal, October 10-14, 2016 </w:t>
      </w:r>
      <w:r w:rsidR="00DA7CCB">
        <w:rPr>
          <w:rFonts w:ascii="Arial" w:eastAsia="MS Mincho" w:hAnsi="Arial" w:cs="Arial" w:hint="eastAsia"/>
          <w:b/>
          <w:bCs/>
          <w:sz w:val="28"/>
          <w:lang w:eastAsia="ja-JP"/>
        </w:rPr>
        <w:tab/>
      </w:r>
      <w:r w:rsidR="00DA7CCB">
        <w:rPr>
          <w:rFonts w:ascii="Arial" w:eastAsia="MS Mincho" w:hAnsi="Arial" w:cs="Arial"/>
          <w:b/>
          <w:bCs/>
          <w:sz w:val="28"/>
          <w:lang w:eastAsia="ja-JP"/>
        </w:rPr>
        <w:t xml:space="preserve">                 </w:t>
      </w:r>
    </w:p>
    <w:p w14:paraId="66EF26E8" w14:textId="77777777" w:rsidR="00DA7CCB" w:rsidRDefault="00DA7CCB" w:rsidP="00DA7CCB">
      <w:pPr>
        <w:pStyle w:val="FootnoteText"/>
        <w:widowControl w:val="0"/>
      </w:pPr>
    </w:p>
    <w:p w14:paraId="7FB48D3C" w14:textId="77777777" w:rsidR="00DA7CCB" w:rsidRPr="008A0B7A" w:rsidRDefault="00DA7CCB" w:rsidP="00DA7CCB">
      <w:pPr>
        <w:pBdr>
          <w:top w:val="single" w:sz="4" w:space="1" w:color="auto"/>
        </w:pBdr>
        <w:spacing w:after="0"/>
        <w:jc w:val="left"/>
        <w:rPr>
          <w:b/>
          <w:kern w:val="2"/>
          <w:lang w:eastAsia="zh-CN"/>
        </w:rPr>
      </w:pPr>
    </w:p>
    <w:p w14:paraId="4C9B39C5"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Pr>
          <w:b/>
          <w:kern w:val="2"/>
          <w:sz w:val="24"/>
          <w:lang w:eastAsia="zh-CN"/>
        </w:rPr>
        <w:t>8.1.5.1</w:t>
      </w:r>
    </w:p>
    <w:p w14:paraId="7A0427E2"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14:paraId="0C7B09D5" w14:textId="77777777" w:rsidR="00DA7CCB" w:rsidRPr="00842220" w:rsidRDefault="00DA7CCB" w:rsidP="006079CF">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6079CF">
        <w:rPr>
          <w:b/>
          <w:kern w:val="2"/>
          <w:sz w:val="24"/>
          <w:lang w:eastAsia="zh-CN"/>
        </w:rPr>
        <w:t>Multi-beam SYNC design</w:t>
      </w:r>
    </w:p>
    <w:p w14:paraId="6734E640"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73721617" w14:textId="77777777" w:rsidR="00DA7CCB" w:rsidRPr="008A0B7A" w:rsidRDefault="00DA7CCB" w:rsidP="00DA7CCB">
      <w:pPr>
        <w:pBdr>
          <w:bottom w:val="single" w:sz="4" w:space="1" w:color="auto"/>
        </w:pBdr>
        <w:spacing w:after="0"/>
        <w:jc w:val="left"/>
        <w:rPr>
          <w:b/>
          <w:sz w:val="16"/>
          <w:szCs w:val="16"/>
        </w:rPr>
      </w:pPr>
    </w:p>
    <w:p w14:paraId="7AC65F52" w14:textId="77777777" w:rsidR="00DA7CCB" w:rsidRDefault="00DA7CCB" w:rsidP="00DA7CCB">
      <w:pPr>
        <w:pStyle w:val="Heading1"/>
        <w:keepNext w:val="0"/>
        <w:widowControl w:val="0"/>
        <w:tabs>
          <w:tab w:val="num" w:pos="432"/>
        </w:tabs>
        <w:autoSpaceDE/>
        <w:autoSpaceDN/>
        <w:adjustRightInd/>
        <w:snapToGrid/>
        <w:spacing w:before="360" w:after="60"/>
        <w:jc w:val="left"/>
      </w:pPr>
      <w:r w:rsidRPr="002A0893">
        <w:t>Introduction</w:t>
      </w:r>
    </w:p>
    <w:p w14:paraId="2743CD71" w14:textId="77777777" w:rsidR="006079CF" w:rsidRDefault="00DA7CCB">
      <w:r>
        <w:t xml:space="preserve">In RAN1#86 [1], the evaluation assumptions to study the initial access performance were agreed. In this contribution we </w:t>
      </w:r>
      <w:r w:rsidR="00747231">
        <w:t>present our synchronization design for the millimeter wave bands</w:t>
      </w:r>
      <w:r w:rsidR="006079CF">
        <w:t>. Our companion contribution [</w:t>
      </w:r>
      <w:r w:rsidR="004B795C">
        <w:t>2</w:t>
      </w:r>
      <w:r w:rsidR="006079CF">
        <w:t xml:space="preserve">] </w:t>
      </w:r>
      <w:r w:rsidR="00747231">
        <w:t>provide</w:t>
      </w:r>
      <w:r w:rsidR="006079CF">
        <w:t>s</w:t>
      </w:r>
      <w:r w:rsidR="00747231">
        <w:t xml:space="preserve"> </w:t>
      </w:r>
      <w:r w:rsidR="006079CF">
        <w:t xml:space="preserve">the </w:t>
      </w:r>
      <w:r w:rsidR="00747231">
        <w:t xml:space="preserve">link-level simulation results. </w:t>
      </w:r>
      <w:r w:rsidR="006079CF">
        <w:t xml:space="preserve"> More specifically, this contribution covers the following aspects of the sync design: </w:t>
      </w:r>
    </w:p>
    <w:p w14:paraId="6F2D3D3E" w14:textId="75B61420" w:rsidR="006079CF" w:rsidRDefault="0079681C" w:rsidP="006079CF">
      <w:pPr>
        <w:pStyle w:val="ListParagraph"/>
        <w:numPr>
          <w:ilvl w:val="0"/>
          <w:numId w:val="9"/>
        </w:numPr>
        <w:jc w:val="left"/>
      </w:pPr>
      <w:r>
        <w:t xml:space="preserve">Support for directional </w:t>
      </w:r>
      <w:r w:rsidR="006079CF">
        <w:t>(beam-formed) transmission of sync signals</w:t>
      </w:r>
    </w:p>
    <w:p w14:paraId="35936185" w14:textId="652F07BC" w:rsidR="006079CF" w:rsidRDefault="006079CF">
      <w:pPr>
        <w:pStyle w:val="ListParagraph"/>
        <w:numPr>
          <w:ilvl w:val="0"/>
          <w:numId w:val="9"/>
        </w:numPr>
        <w:jc w:val="left"/>
      </w:pPr>
      <w:r>
        <w:t xml:space="preserve">Resources </w:t>
      </w:r>
      <w:r w:rsidR="0079681C">
        <w:t xml:space="preserve">mapping </w:t>
      </w:r>
      <w:r>
        <w:t xml:space="preserve">for </w:t>
      </w:r>
      <w:r w:rsidR="00000F2A">
        <w:t xml:space="preserve">the </w:t>
      </w:r>
      <w:r>
        <w:t>sync transmission</w:t>
      </w:r>
    </w:p>
    <w:p w14:paraId="7210F7AA" w14:textId="77777777" w:rsidR="006079CF" w:rsidRDefault="006079CF" w:rsidP="006079CF">
      <w:pPr>
        <w:pStyle w:val="ListParagraph"/>
        <w:numPr>
          <w:ilvl w:val="0"/>
          <w:numId w:val="9"/>
        </w:numPr>
        <w:jc w:val="left"/>
      </w:pPr>
      <w:r>
        <w:t>Beam sweeping pattern and periodicity</w:t>
      </w:r>
    </w:p>
    <w:p w14:paraId="0FFA387C" w14:textId="77777777" w:rsidR="006079CF" w:rsidRDefault="006079CF" w:rsidP="006079CF">
      <w:pPr>
        <w:pStyle w:val="ListParagraph"/>
        <w:numPr>
          <w:ilvl w:val="0"/>
          <w:numId w:val="9"/>
        </w:numPr>
        <w:jc w:val="left"/>
      </w:pPr>
      <w:r>
        <w:t xml:space="preserve">Multiplexing of different components </w:t>
      </w:r>
      <w:r w:rsidR="00000F2A">
        <w:t xml:space="preserve">(PSS/SSS/PBCH) </w:t>
      </w:r>
      <w:r>
        <w:t>of the sync transmission</w:t>
      </w:r>
    </w:p>
    <w:p w14:paraId="0D55AD1D" w14:textId="77777777" w:rsidR="006079CF" w:rsidRDefault="006079CF" w:rsidP="006079CF">
      <w:pPr>
        <w:pStyle w:val="ListParagraph"/>
        <w:numPr>
          <w:ilvl w:val="0"/>
          <w:numId w:val="9"/>
        </w:numPr>
        <w:jc w:val="left"/>
      </w:pPr>
      <w:r>
        <w:t xml:space="preserve">Signal design of different components </w:t>
      </w:r>
      <w:r w:rsidR="00000F2A">
        <w:t xml:space="preserve">(PSS/SSS/PBCH) </w:t>
      </w:r>
      <w:r>
        <w:t>of the sync transmission</w:t>
      </w:r>
    </w:p>
    <w:p w14:paraId="2ADEF0A0" w14:textId="77777777" w:rsidR="00DA7CCB" w:rsidRDefault="00DA7CCB"/>
    <w:p w14:paraId="45C201B7" w14:textId="77777777" w:rsidR="00DA7CCB" w:rsidRDefault="00747231" w:rsidP="00747231">
      <w:pPr>
        <w:pStyle w:val="Heading1"/>
      </w:pPr>
      <w:r>
        <w:t>Synchronization signal design and resources</w:t>
      </w:r>
    </w:p>
    <w:p w14:paraId="3EC8B048" w14:textId="77777777" w:rsidR="00DA7CCB" w:rsidRDefault="006079CF">
      <w:pPr>
        <w:jc w:val="left"/>
      </w:pPr>
      <w:r>
        <w:t>In what follows, we provide our views on different aspects of the mmwave sync design.</w:t>
      </w:r>
    </w:p>
    <w:p w14:paraId="341F9C17" w14:textId="77777777" w:rsidR="00000F2A" w:rsidRDefault="00000F2A">
      <w:pPr>
        <w:jc w:val="left"/>
      </w:pPr>
    </w:p>
    <w:p w14:paraId="3BB3E158" w14:textId="77777777" w:rsidR="00221AEE" w:rsidRDefault="00221AEE" w:rsidP="00221AEE">
      <w:pPr>
        <w:pStyle w:val="Heading2"/>
      </w:pPr>
      <w:r>
        <w:t>Directional transmission of synchronization signals</w:t>
      </w:r>
    </w:p>
    <w:p w14:paraId="7ED8AF47" w14:textId="584897BA" w:rsidR="0081113C" w:rsidRDefault="0081113C" w:rsidP="00221AEE">
      <w:r>
        <w:t>As discussed in [</w:t>
      </w:r>
      <w:r w:rsidR="004B795C">
        <w:t>3</w:t>
      </w:r>
      <w:r>
        <w:t xml:space="preserve">], </w:t>
      </w:r>
      <w:r w:rsidRPr="00737B60">
        <w:t>the base station can take two approaches</w:t>
      </w:r>
      <w:r>
        <w:t>,</w:t>
      </w:r>
      <w:r w:rsidRPr="00737B60">
        <w:t xml:space="preserve"> </w:t>
      </w:r>
      <w:r>
        <w:t>d</w:t>
      </w:r>
      <w:r w:rsidRPr="00737B60">
        <w:t xml:space="preserve">uring </w:t>
      </w:r>
      <w:r>
        <w:t xml:space="preserve">the </w:t>
      </w:r>
      <w:r w:rsidRPr="00737B60">
        <w:t xml:space="preserve">synchronization </w:t>
      </w:r>
      <w:r>
        <w:t xml:space="preserve">(and random access) </w:t>
      </w:r>
      <w:r w:rsidRPr="00737B60">
        <w:t>period,</w:t>
      </w:r>
      <w:r>
        <w:t xml:space="preserve"> </w:t>
      </w:r>
      <w:r w:rsidRPr="00737B60">
        <w:t>to compensate for the high free space path loss and additional non-line-of-sight losses. First, the synchronization signals can be transmitted</w:t>
      </w:r>
      <w:r>
        <w:t xml:space="preserve"> i</w:t>
      </w:r>
      <w:r w:rsidRPr="00737B60">
        <w:t>n a beamformed manner and swept through the</w:t>
      </w:r>
      <w:r>
        <w:t xml:space="preserve"> angular coverage region (in azimuth and/or elevation)</w:t>
      </w:r>
      <w:r w:rsidRPr="00737B60">
        <w:t xml:space="preserve">. Second, the synchronization </w:t>
      </w:r>
      <w:r>
        <w:t>s</w:t>
      </w:r>
      <w:r w:rsidRPr="00737B60">
        <w:t>ignal can be transmitted</w:t>
      </w:r>
      <w:r>
        <w:t xml:space="preserve"> for a longer duration with a pseudo-</w:t>
      </w:r>
      <w:r w:rsidRPr="00737B60">
        <w:t>omni beam.</w:t>
      </w:r>
      <w:r>
        <w:t xml:space="preserve"> Beam sweep by the base station during synchronization and random access period has several advantages over pseudo-omni beam transmission or reception with longer duration. For example the transmission of message 2, of the random access process, must be beamformed in order to meet the link budget, hence the base station and the UE need to learn the best beam pair for tx/rx during the synchronization/</w:t>
      </w:r>
      <w:r w:rsidR="0079681C">
        <w:t>message-</w:t>
      </w:r>
      <w:r>
        <w:t>1 period. Other advantages of beamformed synchronization were discussed in [</w:t>
      </w:r>
      <w:r w:rsidR="004B795C">
        <w:t>3</w:t>
      </w:r>
      <w:r>
        <w:t>].</w:t>
      </w:r>
      <w:r w:rsidR="00A255E2">
        <w:t xml:space="preserve"> </w:t>
      </w:r>
    </w:p>
    <w:p w14:paraId="59C92D7A" w14:textId="77777777" w:rsidR="00A255E2" w:rsidRDefault="00A255E2" w:rsidP="00A255E2">
      <w:pPr>
        <w:rPr>
          <w:sz w:val="24"/>
          <w:szCs w:val="24"/>
        </w:rPr>
      </w:pPr>
      <w:r w:rsidRPr="00582C7C">
        <w:rPr>
          <w:b/>
        </w:rPr>
        <w:t xml:space="preserve">Proposal 1: The </w:t>
      </w:r>
      <w:r>
        <w:rPr>
          <w:b/>
        </w:rPr>
        <w:t>design should allow base stations to sweep beams during synchronization and random access period.</w:t>
      </w:r>
    </w:p>
    <w:p w14:paraId="15E296BC" w14:textId="77777777" w:rsidR="00FD0272" w:rsidRDefault="00221AEE" w:rsidP="00DA7CCB">
      <w:pPr>
        <w:jc w:val="left"/>
      </w:pPr>
      <w:r>
        <w:t xml:space="preserve">In what follows, we provide our </w:t>
      </w:r>
      <w:r w:rsidRPr="00A255E2">
        <w:rPr>
          <w:i/>
          <w:iCs/>
        </w:rPr>
        <w:t>directional</w:t>
      </w:r>
      <w:r>
        <w:t xml:space="preserve"> synchronization design.</w:t>
      </w:r>
    </w:p>
    <w:p w14:paraId="30BD75FA" w14:textId="77777777" w:rsidR="00221AEE" w:rsidRDefault="00221AEE" w:rsidP="00DA7CCB">
      <w:pPr>
        <w:jc w:val="left"/>
      </w:pPr>
    </w:p>
    <w:p w14:paraId="6F63BCD4" w14:textId="77777777" w:rsidR="00221AEE" w:rsidRDefault="00221AEE" w:rsidP="00221AEE">
      <w:pPr>
        <w:pStyle w:val="Heading2"/>
      </w:pPr>
      <w:r>
        <w:t>Resource allocation for synchronization signal</w:t>
      </w:r>
    </w:p>
    <w:p w14:paraId="604FF604" w14:textId="77777777" w:rsidR="00674592" w:rsidRDefault="00674592">
      <w:pPr>
        <w:jc w:val="left"/>
      </w:pPr>
      <w:r>
        <w:t>In the frequency domain, the transmission of the sync signals must be limited to a minimum bandwidth supportable by all UEs. We also notice the sync signals may not be frequency-multiplexed with other control/data transmissions during the same symbol for the following two reasons: (i) the directional transmission of the sync signal would require other signal</w:t>
      </w:r>
      <w:r w:rsidR="00000F2A">
        <w:t>s</w:t>
      </w:r>
      <w:r>
        <w:t xml:space="preserve"> FDMed in the same symbol to be similarly </w:t>
      </w:r>
      <w:r>
        <w:lastRenderedPageBreak/>
        <w:t>beam-formed</w:t>
      </w:r>
      <w:r w:rsidR="0079681C">
        <w:t xml:space="preserve"> (in analog stage)</w:t>
      </w:r>
      <w:r>
        <w:t xml:space="preserve">, hence limiting the possibility of transmitting other channels during the same symbol, (ii) to achieve reasonable sync performance, at very high pathloss, it is beneficial to transmit the sync signal at higher (max) power by avoiding </w:t>
      </w:r>
      <w:r w:rsidR="00000F2A">
        <w:t xml:space="preserve">to </w:t>
      </w:r>
      <w:r>
        <w:t xml:space="preserve">split </w:t>
      </w:r>
      <w:r w:rsidR="00000F2A">
        <w:t xml:space="preserve">the </w:t>
      </w:r>
      <w:r>
        <w:t xml:space="preserve">power among other FDMed transmissions. </w:t>
      </w:r>
    </w:p>
    <w:p w14:paraId="769DF1F5" w14:textId="270FFB34" w:rsidR="00674592" w:rsidRPr="00A15CAF" w:rsidRDefault="00674592" w:rsidP="00674592">
      <w:pPr>
        <w:rPr>
          <w:sz w:val="24"/>
          <w:szCs w:val="24"/>
        </w:rPr>
      </w:pPr>
      <w:r>
        <w:rPr>
          <w:b/>
        </w:rPr>
        <w:t>Proposal 2</w:t>
      </w:r>
      <w:r w:rsidRPr="00582C7C">
        <w:rPr>
          <w:b/>
        </w:rPr>
        <w:t xml:space="preserve">: </w:t>
      </w:r>
      <w:r>
        <w:rPr>
          <w:b/>
        </w:rPr>
        <w:t xml:space="preserve">The transmission of sync signals is limited to the minimum supportable bandwidth. </w:t>
      </w:r>
      <w:r w:rsidR="0079681C">
        <w:rPr>
          <w:b/>
        </w:rPr>
        <w:t>An example</w:t>
      </w:r>
      <w:r>
        <w:rPr>
          <w:b/>
        </w:rPr>
        <w:t xml:space="preserve"> of the minimum supportable bandwidth is 40MHz.</w:t>
      </w:r>
    </w:p>
    <w:p w14:paraId="24584389" w14:textId="5E730275" w:rsidR="00674592" w:rsidRPr="00A15CAF" w:rsidRDefault="00674592" w:rsidP="00674592">
      <w:pPr>
        <w:rPr>
          <w:sz w:val="24"/>
          <w:szCs w:val="24"/>
        </w:rPr>
      </w:pPr>
      <w:r>
        <w:rPr>
          <w:b/>
        </w:rPr>
        <w:t>Proposal 3</w:t>
      </w:r>
      <w:r w:rsidRPr="00582C7C">
        <w:rPr>
          <w:b/>
        </w:rPr>
        <w:t xml:space="preserve">: </w:t>
      </w:r>
      <w:r w:rsidR="0079681C" w:rsidRPr="0079681C">
        <w:rPr>
          <w:b/>
        </w:rPr>
        <w:t>Design should allow sync transmission without frequency-mul</w:t>
      </w:r>
      <w:r w:rsidR="0079681C">
        <w:rPr>
          <w:b/>
        </w:rPr>
        <w:t>tiplexing of additional signals</w:t>
      </w:r>
      <w:r>
        <w:rPr>
          <w:b/>
        </w:rPr>
        <w:t xml:space="preserve">. </w:t>
      </w:r>
    </w:p>
    <w:p w14:paraId="6923983D" w14:textId="77777777" w:rsidR="00674592" w:rsidRDefault="00674592" w:rsidP="00674592">
      <w:pPr>
        <w:jc w:val="left"/>
      </w:pPr>
    </w:p>
    <w:p w14:paraId="15944237" w14:textId="08A3D48E" w:rsidR="00AA06BF" w:rsidRDefault="00674592">
      <w:pPr>
        <w:jc w:val="left"/>
      </w:pPr>
      <w:r>
        <w:t>In the time domain, s</w:t>
      </w:r>
      <w:r w:rsidR="00221AEE">
        <w:t xml:space="preserve">ome resources must be periodically allocated for the transmission of synchronization signals. A shorter periodicity (i.e., more frequent transmission of sync) would be beneficial </w:t>
      </w:r>
      <w:r w:rsidR="00AE1A2B">
        <w:t>for</w:t>
      </w:r>
      <w:r w:rsidR="00221AEE">
        <w:t xml:space="preserve"> reducing the sync latency</w:t>
      </w:r>
      <w:r w:rsidR="007050D7">
        <w:t>,</w:t>
      </w:r>
      <w:r w:rsidR="00221AEE">
        <w:t xml:space="preserve"> processing complexity and memory requirements of the UE searcher. On the other hand, very short sync periodicity would result in higher energy consumption at the base stations and may also translate to larger </w:t>
      </w:r>
      <w:r w:rsidR="00AE1A2B">
        <w:t>overhead of the sync resources</w:t>
      </w:r>
      <w:r w:rsidR="00AA06BF">
        <w:t xml:space="preserve">. Considering this trade-off, we propose to use sync periodicity of 5msec (similar to LTE DL synchronization) to </w:t>
      </w:r>
      <w:r w:rsidR="007050D7">
        <w:t xml:space="preserve">provision for </w:t>
      </w:r>
      <w:r w:rsidR="00AA06BF">
        <w:t>timely cell acquisition.</w:t>
      </w:r>
    </w:p>
    <w:p w14:paraId="73BCFA97" w14:textId="77777777" w:rsidR="00674592" w:rsidRDefault="00674592" w:rsidP="00674592">
      <w:pPr>
        <w:jc w:val="left"/>
      </w:pPr>
    </w:p>
    <w:p w14:paraId="33E65F0E" w14:textId="3BACB3B5" w:rsidR="00674592" w:rsidRDefault="00674592" w:rsidP="00674592">
      <w:pPr>
        <w:jc w:val="left"/>
      </w:pPr>
      <w:r>
        <w:t>As discussed in Section 2.1., the base station transmit</w:t>
      </w:r>
      <w:r w:rsidR="00AA06BF">
        <w:t>s</w:t>
      </w:r>
      <w:r>
        <w:t xml:space="preserve"> the sync signal in different directions to cover a sufficiently large angular region both in azimuth and elevation. This requires allocating enough resources (proportional to the number of beams to sweep)</w:t>
      </w:r>
      <w:r w:rsidR="00AA06BF">
        <w:t xml:space="preserve"> within a sync period. In our design, we propose to allocate 250</w:t>
      </w:r>
      <w:r w:rsidR="007050D7" w:rsidRPr="00594C80">
        <w:rPr>
          <w:rFonts w:ascii="Symbol" w:hAnsi="Symbol"/>
        </w:rPr>
        <w:t></w:t>
      </w:r>
      <w:r w:rsidR="00AA06BF">
        <w:t>sec worth of resources within which the base station may sweep 14 different directions (</w:t>
      </w:r>
      <w:r w:rsidR="007050D7">
        <w:t>per</w:t>
      </w:r>
      <w:r w:rsidR="00AA06BF">
        <w:t xml:space="preserve"> antenna port) for the sync transmission</w:t>
      </w:r>
      <w:r w:rsidR="007050D7">
        <w:t>;</w:t>
      </w:r>
      <w:r w:rsidR="00AA06BF">
        <w:t xml:space="preserve"> (see</w:t>
      </w:r>
      <w:r w:rsidR="00206CAB">
        <w:t xml:space="preserve"> </w:t>
      </w:r>
      <w:r w:rsidR="007050D7">
        <w:fldChar w:fldCharType="begin"/>
      </w:r>
      <w:r w:rsidR="007050D7">
        <w:instrText xml:space="preserve"> REF _Ref463016939 \h </w:instrText>
      </w:r>
      <w:r w:rsidR="007050D7">
        <w:fldChar w:fldCharType="separate"/>
      </w:r>
      <w:r w:rsidR="007050D7" w:rsidRPr="00501915">
        <w:t xml:space="preserve">Figure </w:t>
      </w:r>
      <w:r w:rsidR="007050D7">
        <w:rPr>
          <w:noProof/>
        </w:rPr>
        <w:t>1</w:t>
      </w:r>
      <w:r w:rsidR="007050D7">
        <w:fldChar w:fldCharType="end"/>
      </w:r>
      <w:r w:rsidR="00AA06BF">
        <w:t>)</w:t>
      </w:r>
    </w:p>
    <w:p w14:paraId="27D95AA7" w14:textId="77777777" w:rsidR="00AA06BF" w:rsidRDefault="00AA06BF" w:rsidP="00A15CAF">
      <w:pPr>
        <w:rPr>
          <w:b/>
        </w:rPr>
      </w:pPr>
    </w:p>
    <w:p w14:paraId="587785D8" w14:textId="77777777" w:rsidR="00A15CAF" w:rsidRPr="00A15CAF" w:rsidRDefault="00AA06BF" w:rsidP="002912FC">
      <w:pPr>
        <w:rPr>
          <w:sz w:val="24"/>
          <w:szCs w:val="24"/>
        </w:rPr>
      </w:pPr>
      <w:r>
        <w:rPr>
          <w:b/>
        </w:rPr>
        <w:t>Proposal 4</w:t>
      </w:r>
      <w:r w:rsidR="00A15CAF" w:rsidRPr="00582C7C">
        <w:rPr>
          <w:b/>
        </w:rPr>
        <w:t xml:space="preserve">: </w:t>
      </w:r>
      <w:r w:rsidR="00674592">
        <w:rPr>
          <w:b/>
        </w:rPr>
        <w:t xml:space="preserve">Every X msec, Y msec worth of resources are allocated </w:t>
      </w:r>
      <w:r w:rsidR="002912FC">
        <w:rPr>
          <w:b/>
        </w:rPr>
        <w:t>for the</w:t>
      </w:r>
      <w:r w:rsidR="00674592">
        <w:rPr>
          <w:b/>
        </w:rPr>
        <w:t xml:space="preserve"> transmission</w:t>
      </w:r>
      <w:r w:rsidR="002912FC">
        <w:rPr>
          <w:b/>
        </w:rPr>
        <w:t xml:space="preserve"> of a synchronization burst</w:t>
      </w:r>
      <w:r w:rsidR="00674592">
        <w:rPr>
          <w:b/>
        </w:rPr>
        <w:t xml:space="preserve">. </w:t>
      </w:r>
      <w:r w:rsidR="002912FC">
        <w:rPr>
          <w:b/>
        </w:rPr>
        <w:t xml:space="preserve">Each synchronization burst consists of N nominal sync signals. The exact values of X, </w:t>
      </w:r>
      <w:r w:rsidR="00674592">
        <w:rPr>
          <w:b/>
        </w:rPr>
        <w:t xml:space="preserve">Y </w:t>
      </w:r>
      <w:r w:rsidR="002912FC">
        <w:rPr>
          <w:b/>
        </w:rPr>
        <w:t xml:space="preserve">and N </w:t>
      </w:r>
      <w:r w:rsidR="00674592">
        <w:rPr>
          <w:b/>
        </w:rPr>
        <w:t>are FFS (example: X=5, Y=0.25</w:t>
      </w:r>
      <w:r w:rsidR="002912FC">
        <w:rPr>
          <w:b/>
        </w:rPr>
        <w:t>, N=14</w:t>
      </w:r>
      <w:r w:rsidR="00674592">
        <w:rPr>
          <w:b/>
        </w:rPr>
        <w:t>).</w:t>
      </w:r>
    </w:p>
    <w:p w14:paraId="7C568CC0" w14:textId="77777777" w:rsidR="00A87396" w:rsidRDefault="00A87396" w:rsidP="00DA7CCB">
      <w:pPr>
        <w:jc w:val="left"/>
      </w:pPr>
    </w:p>
    <w:p w14:paraId="1F62A76D" w14:textId="5D4A9E94" w:rsidR="00501915" w:rsidRDefault="00890630" w:rsidP="00501915">
      <w:pPr>
        <w:keepNext/>
        <w:jc w:val="center"/>
      </w:pPr>
      <w:r>
        <w:object w:dxaOrig="10484" w:dyaOrig="7709" w14:anchorId="6EC7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201.6pt" o:ole="">
            <v:imagedata r:id="rId8" o:title=""/>
          </v:shape>
          <o:OLEObject Type="Embed" ProgID="Visio.Drawing.11" ShapeID="_x0000_i1025" DrawAspect="Content" ObjectID="_1536776307" r:id="rId9"/>
        </w:object>
      </w:r>
      <w:r w:rsidR="007050D7">
        <w:fldChar w:fldCharType="begin"/>
      </w:r>
      <w:r w:rsidR="007050D7">
        <w:instrText xml:space="preserve"> EMB</w:instrText>
      </w:r>
      <w:r w:rsidR="00A2258C" w:rsidRPr="00A2258C">
        <w:instrText>ftp://baggage/Projects/3GPP_Standardization_Project/RAN1/2016/R1-86b/NR/R14-74/</w:instrText>
      </w:r>
      <w:r w:rsidR="007050D7">
        <w:instrText xml:space="preserve">ED Visio.Drawing.11 </w:instrText>
      </w:r>
      <w:r w:rsidR="007050D7">
        <w:fldChar w:fldCharType="separate"/>
      </w:r>
      <w:r w:rsidR="00362AE9">
        <w:pict w14:anchorId="15CE45B7">
          <v:shape id="_x0000_i1026" type="#_x0000_t75" style="width:417.6pt;height:316.8pt">
            <v:imagedata r:id="rId10" o:title=""/>
          </v:shape>
        </w:pict>
      </w:r>
      <w:r w:rsidR="007050D7">
        <w:fldChar w:fldCharType="end"/>
      </w:r>
    </w:p>
    <w:p w14:paraId="26BDB5E0" w14:textId="77777777" w:rsidR="00AA06BF" w:rsidRDefault="00501915" w:rsidP="00501915">
      <w:pPr>
        <w:pStyle w:val="Caption"/>
        <w:jc w:val="center"/>
        <w:rPr>
          <w:sz w:val="22"/>
          <w:szCs w:val="22"/>
        </w:rPr>
      </w:pPr>
      <w:bookmarkStart w:id="0" w:name="_Ref463016939"/>
      <w:r w:rsidRPr="00501915">
        <w:rPr>
          <w:sz w:val="22"/>
          <w:szCs w:val="22"/>
        </w:rPr>
        <w:t xml:space="preserve">Figure </w:t>
      </w:r>
      <w:r w:rsidRPr="00501915">
        <w:rPr>
          <w:sz w:val="22"/>
          <w:szCs w:val="22"/>
        </w:rPr>
        <w:fldChar w:fldCharType="begin"/>
      </w:r>
      <w:r w:rsidRPr="00501915">
        <w:rPr>
          <w:sz w:val="22"/>
          <w:szCs w:val="22"/>
        </w:rPr>
        <w:instrText xml:space="preserve"> SEQ Figure \* ARABIC </w:instrText>
      </w:r>
      <w:r w:rsidRPr="00501915">
        <w:rPr>
          <w:sz w:val="22"/>
          <w:szCs w:val="22"/>
        </w:rPr>
        <w:fldChar w:fldCharType="separate"/>
      </w:r>
      <w:r w:rsidR="00854956">
        <w:rPr>
          <w:noProof/>
          <w:sz w:val="22"/>
          <w:szCs w:val="22"/>
        </w:rPr>
        <w:t>1</w:t>
      </w:r>
      <w:r w:rsidRPr="00501915">
        <w:rPr>
          <w:sz w:val="22"/>
          <w:szCs w:val="22"/>
        </w:rPr>
        <w:fldChar w:fldCharType="end"/>
      </w:r>
      <w:bookmarkEnd w:id="0"/>
      <w:r w:rsidRPr="00501915">
        <w:rPr>
          <w:sz w:val="22"/>
          <w:szCs w:val="22"/>
        </w:rPr>
        <w:t xml:space="preserve"> -- resources allocated to sync transmission</w:t>
      </w:r>
    </w:p>
    <w:p w14:paraId="56F70B78" w14:textId="77777777" w:rsidR="00501915" w:rsidRPr="00501915" w:rsidRDefault="00501915" w:rsidP="00501915"/>
    <w:p w14:paraId="5E7FE42B" w14:textId="77777777" w:rsidR="005A03A6" w:rsidRDefault="005A03A6" w:rsidP="005A03A6">
      <w:pPr>
        <w:pStyle w:val="Heading2"/>
      </w:pPr>
      <w:r>
        <w:t xml:space="preserve">Beam sweeping periodicity </w:t>
      </w:r>
    </w:p>
    <w:p w14:paraId="6B611CD6" w14:textId="77777777" w:rsidR="00853D4B" w:rsidRDefault="005A03A6" w:rsidP="005A03A6">
      <w:pPr>
        <w:jc w:val="left"/>
      </w:pPr>
      <w:r>
        <w:t>In the previous section, we discussed the sync resource periodicity. Within each sync period, we have some resources for the transmission of a</w:t>
      </w:r>
      <w:r w:rsidR="00AA06BF">
        <w:t xml:space="preserve"> </w:t>
      </w:r>
      <w:r>
        <w:t xml:space="preserve">synchronization </w:t>
      </w:r>
      <w:r w:rsidR="00AA06BF">
        <w:t xml:space="preserve">burst </w:t>
      </w:r>
      <w:r>
        <w:t xml:space="preserve">as shown in Figure 1. Each burst of </w:t>
      </w:r>
      <w:r w:rsidR="00AA06BF">
        <w:t xml:space="preserve">sync </w:t>
      </w:r>
      <w:r w:rsidR="00AA06BF">
        <w:lastRenderedPageBreak/>
        <w:t xml:space="preserve">transmission consists of </w:t>
      </w:r>
      <w:r w:rsidR="004247BB">
        <w:t xml:space="preserve">N </w:t>
      </w:r>
      <w:r w:rsidR="00AA06BF">
        <w:t>nominal sync symbols</w:t>
      </w:r>
      <w:r w:rsidR="004247BB">
        <w:t xml:space="preserve"> (e.g. N=14 in our proposal)</w:t>
      </w:r>
      <w:r w:rsidR="00AA06BF">
        <w:t xml:space="preserve">, </w:t>
      </w:r>
      <w:r>
        <w:t xml:space="preserve">where different symbols are potentially differently beam-formed. </w:t>
      </w:r>
    </w:p>
    <w:p w14:paraId="079C2812" w14:textId="77777777" w:rsidR="00853D4B" w:rsidRDefault="00853D4B">
      <w:pPr>
        <w:jc w:val="left"/>
      </w:pPr>
      <w:r>
        <w:t xml:space="preserve">In general, the base station should adopt a sweeping pattern for the transmission of the </w:t>
      </w:r>
      <w:r w:rsidR="00000F2A">
        <w:t xml:space="preserve">sync </w:t>
      </w:r>
      <w:r>
        <w:t>symbols. One example of s</w:t>
      </w:r>
      <w:r w:rsidR="00B819A1">
        <w:t>uch pattern is shown in Figure 2</w:t>
      </w:r>
      <w:r>
        <w:t xml:space="preserve">, where an angular region of 120 degrees in azimuth is covered by14 beams, these beams may be directed towards some predetermined angle in the elevation (e.g. towards the cell edge). </w:t>
      </w:r>
    </w:p>
    <w:p w14:paraId="0CB9E46D" w14:textId="77777777" w:rsidR="00853D4B" w:rsidRDefault="00853D4B" w:rsidP="005A03A6">
      <w:pPr>
        <w:jc w:val="left"/>
      </w:pPr>
    </w:p>
    <w:p w14:paraId="527CF1AE" w14:textId="77777777" w:rsidR="00853D4B" w:rsidRDefault="00853D4B" w:rsidP="00853D4B">
      <w:pPr>
        <w:jc w:val="left"/>
      </w:pPr>
      <w:r>
        <w:t>Although the exact choice of the sweeping pattern can be left to the cells, this pattern should occur periodically and the maximum periodicity must be known by the UE</w:t>
      </w:r>
      <w:r w:rsidR="002F1AA8">
        <w:t>s because:</w:t>
      </w:r>
    </w:p>
    <w:p w14:paraId="1E507003" w14:textId="77777777" w:rsidR="002F1AA8" w:rsidRDefault="002F1AA8" w:rsidP="002F1AA8">
      <w:pPr>
        <w:pStyle w:val="ListParagraph"/>
        <w:numPr>
          <w:ilvl w:val="0"/>
          <w:numId w:val="7"/>
        </w:numPr>
        <w:jc w:val="left"/>
      </w:pPr>
      <w:r>
        <w:t>The UE may have different antenna subarrays, and during the initial acquisition the UE needs to determine which subarray it should use to connect to a base station. The UE hence needs to switch between subarrays and run its searcher over the received samples from the selected subarray(s). Therefore, the max beam sweep periodicity must be known to schedule the searcher.</w:t>
      </w:r>
    </w:p>
    <w:p w14:paraId="0EE5E7BA" w14:textId="77777777" w:rsidR="002F1AA8" w:rsidRDefault="002F1AA8" w:rsidP="002F1AA8">
      <w:pPr>
        <w:pStyle w:val="ListParagraph"/>
        <w:numPr>
          <w:ilvl w:val="0"/>
          <w:numId w:val="7"/>
        </w:numPr>
        <w:jc w:val="left"/>
      </w:pPr>
      <w:r>
        <w:t xml:space="preserve">The UE may need to non-coherently combine received sync signal (e.g. PSS) over multiple periods to achieve a reliable detection at high pathloss. Therefore, UE needs to know which sync symbols are </w:t>
      </w:r>
      <w:r w:rsidR="00E42748">
        <w:t>transmitted using the same beam.</w:t>
      </w:r>
    </w:p>
    <w:p w14:paraId="24F78CBC" w14:textId="77777777" w:rsidR="00E42748" w:rsidRDefault="005A03A6" w:rsidP="00E42748">
      <w:pPr>
        <w:jc w:val="left"/>
      </w:pPr>
      <w:r>
        <w:t>In one example, the base station may sweep N different directions within one burst, and repeat the same sweeping pattern in the next transmission bursts with</w:t>
      </w:r>
      <w:r w:rsidR="00000F2A">
        <w:t>in</w:t>
      </w:r>
      <w:r>
        <w:t xml:space="preserve"> the next sync periods. In this case, the sweeping periodicity is the same as </w:t>
      </w:r>
      <w:r w:rsidR="00853D4B">
        <w:t>the sync resource periodicity.</w:t>
      </w:r>
    </w:p>
    <w:p w14:paraId="47DECAAF" w14:textId="77777777" w:rsidR="00E42748" w:rsidRDefault="00E42748" w:rsidP="00E42748">
      <w:pPr>
        <w:jc w:val="left"/>
      </w:pPr>
    </w:p>
    <w:p w14:paraId="491272DE" w14:textId="77777777" w:rsidR="00E42748" w:rsidRDefault="00E42748" w:rsidP="00E42748">
      <w:pPr>
        <w:rPr>
          <w:b/>
        </w:rPr>
      </w:pPr>
      <w:r>
        <w:rPr>
          <w:b/>
        </w:rPr>
        <w:t>Proposal 5</w:t>
      </w:r>
      <w:r w:rsidRPr="00582C7C">
        <w:rPr>
          <w:b/>
        </w:rPr>
        <w:t xml:space="preserve">: </w:t>
      </w:r>
      <w:r>
        <w:rPr>
          <w:b/>
        </w:rPr>
        <w:t>The max sync (beam sweep) periodicity Z is known by the UEs. The exact value of Z is FFS (example: sync periodicity = sync resource periodicity: Z=X=5</w:t>
      </w:r>
      <w:r w:rsidR="00000F2A">
        <w:rPr>
          <w:b/>
        </w:rPr>
        <w:t xml:space="preserve"> [msec]</w:t>
      </w:r>
      <w:r>
        <w:rPr>
          <w:b/>
        </w:rPr>
        <w:t>).</w:t>
      </w:r>
    </w:p>
    <w:p w14:paraId="63CD7993" w14:textId="77777777" w:rsidR="003860A1" w:rsidRPr="00A15CAF" w:rsidRDefault="003860A1" w:rsidP="00E42748">
      <w:pPr>
        <w:rPr>
          <w:sz w:val="24"/>
          <w:szCs w:val="24"/>
        </w:rPr>
      </w:pPr>
    </w:p>
    <w:p w14:paraId="5CBDEED1" w14:textId="77777777" w:rsidR="003860A1" w:rsidRDefault="003860A1">
      <w:pPr>
        <w:keepNext/>
        <w:jc w:val="center"/>
      </w:pPr>
      <w:r>
        <w:rPr>
          <w:noProof/>
        </w:rPr>
        <w:drawing>
          <wp:inline distT="0" distB="0" distL="0" distR="0" wp14:anchorId="53F77786" wp14:editId="57B13009">
            <wp:extent cx="4436827" cy="2428184"/>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CH_Subarray_Selection.png"/>
                    <pic:cNvPicPr/>
                  </pic:nvPicPr>
                  <pic:blipFill>
                    <a:blip r:embed="rId11">
                      <a:extLst>
                        <a:ext uri="{28A0092B-C50C-407E-A947-70E740481C1C}">
                          <a14:useLocalDpi xmlns:a14="http://schemas.microsoft.com/office/drawing/2010/main" val="0"/>
                        </a:ext>
                      </a:extLst>
                    </a:blip>
                    <a:stretch>
                      <a:fillRect/>
                    </a:stretch>
                  </pic:blipFill>
                  <pic:spPr>
                    <a:xfrm>
                      <a:off x="0" y="0"/>
                      <a:ext cx="4464536" cy="2443349"/>
                    </a:xfrm>
                    <a:prstGeom prst="rect">
                      <a:avLst/>
                    </a:prstGeom>
                  </pic:spPr>
                </pic:pic>
              </a:graphicData>
            </a:graphic>
          </wp:inline>
        </w:drawing>
      </w:r>
    </w:p>
    <w:p w14:paraId="7D7FAFC6" w14:textId="77777777" w:rsidR="003860A1" w:rsidRPr="0079681C" w:rsidRDefault="003860A1" w:rsidP="0079681C">
      <w:pPr>
        <w:pStyle w:val="Caption"/>
        <w:jc w:val="center"/>
      </w:pPr>
      <w:r w:rsidRPr="0079681C">
        <w:rPr>
          <w:sz w:val="22"/>
          <w:szCs w:val="22"/>
        </w:rPr>
        <w:t xml:space="preserve">Figure </w:t>
      </w:r>
      <w:r w:rsidRPr="0079681C">
        <w:rPr>
          <w:sz w:val="22"/>
          <w:szCs w:val="22"/>
        </w:rPr>
        <w:fldChar w:fldCharType="begin"/>
      </w:r>
      <w:r w:rsidRPr="0079681C">
        <w:rPr>
          <w:sz w:val="22"/>
          <w:szCs w:val="22"/>
        </w:rPr>
        <w:instrText xml:space="preserve"> SEQ Figure \* ARABIC </w:instrText>
      </w:r>
      <w:r w:rsidRPr="0079681C">
        <w:rPr>
          <w:sz w:val="22"/>
          <w:szCs w:val="22"/>
        </w:rPr>
        <w:fldChar w:fldCharType="separate"/>
      </w:r>
      <w:r w:rsidR="00854956">
        <w:rPr>
          <w:noProof/>
          <w:sz w:val="22"/>
          <w:szCs w:val="22"/>
        </w:rPr>
        <w:t>2</w:t>
      </w:r>
      <w:r w:rsidRPr="0079681C">
        <w:rPr>
          <w:sz w:val="22"/>
          <w:szCs w:val="22"/>
        </w:rPr>
        <w:fldChar w:fldCharType="end"/>
      </w:r>
      <w:r w:rsidRPr="0079681C">
        <w:rPr>
          <w:noProof/>
          <w:sz w:val="22"/>
          <w:szCs w:val="22"/>
        </w:rPr>
        <w:t xml:space="preserve"> -- example of beam sweeping pattern for sync transmission</w:t>
      </w:r>
    </w:p>
    <w:p w14:paraId="268735B1" w14:textId="77777777" w:rsidR="00E42748" w:rsidRDefault="00E42748" w:rsidP="0079681C">
      <w:pPr>
        <w:jc w:val="center"/>
      </w:pPr>
    </w:p>
    <w:p w14:paraId="2C239D65" w14:textId="77777777" w:rsidR="00B308FB" w:rsidRDefault="00B308FB" w:rsidP="00B308FB">
      <w:pPr>
        <w:pStyle w:val="Heading2"/>
      </w:pPr>
      <w:r>
        <w:t xml:space="preserve">Synchronization symbol index detection </w:t>
      </w:r>
    </w:p>
    <w:p w14:paraId="6D59FA37" w14:textId="77777777" w:rsidR="00B308FB" w:rsidRDefault="00B308FB" w:rsidP="00B308FB">
      <w:pPr>
        <w:jc w:val="left"/>
      </w:pPr>
      <w:r>
        <w:t xml:space="preserve">In the previous sections, we discussed the sync burst that contains multiple nominal sync symbols (e.g., see </w:t>
      </w:r>
      <w:r>
        <w:fldChar w:fldCharType="begin"/>
      </w:r>
      <w:r>
        <w:instrText xml:space="preserve"> REF _Ref462993177 \h </w:instrText>
      </w:r>
      <w:r>
        <w:fldChar w:fldCharType="separate"/>
      </w:r>
      <w:r w:rsidRPr="00501915">
        <w:t xml:space="preserve">Figure </w:t>
      </w:r>
      <w:r>
        <w:rPr>
          <w:noProof/>
        </w:rPr>
        <w:t>1</w:t>
      </w:r>
      <w:r>
        <w:fldChar w:fldCharType="end"/>
      </w:r>
      <w:r>
        <w:t xml:space="preserve">) possibly beamformed in different directions.  A UE detecting PSS/SSS in anyone of these nominal symbols can acquire the symbol boundary, however, the UE cannot determine the symbol index within the burst and, therefore, the subframe or burst boundary.  That is, the UE needs to further determine the nominal symbol index </w:t>
      </w:r>
      <m:oMath>
        <m:r>
          <w:rPr>
            <w:rFonts w:ascii="Cambria Math" w:hAnsi="Cambria Math"/>
          </w:rPr>
          <m:t xml:space="preserve">n </m:t>
        </m:r>
      </m:oMath>
      <w:r>
        <w:t xml:space="preserve">– e.g., </w:t>
      </w:r>
      <m:oMath>
        <m:r>
          <w:rPr>
            <w:rFonts w:ascii="Cambria Math" w:hAnsi="Cambria Math"/>
          </w:rPr>
          <m:t>n∈</m:t>
        </m:r>
        <m:d>
          <m:dPr>
            <m:begChr m:val="{"/>
            <m:endChr m:val="}"/>
            <m:ctrlPr>
              <w:rPr>
                <w:rFonts w:ascii="Cambria Math" w:hAnsi="Cambria Math"/>
                <w:i/>
              </w:rPr>
            </m:ctrlPr>
          </m:dPr>
          <m:e>
            <m:r>
              <w:rPr>
                <w:rFonts w:ascii="Cambria Math" w:hAnsi="Cambria Math"/>
              </w:rPr>
              <m:t>0,1,…,13</m:t>
            </m:r>
          </m:e>
        </m:d>
      </m:oMath>
      <w:r>
        <w:t xml:space="preserve"> in </w:t>
      </w:r>
      <w:r>
        <w:fldChar w:fldCharType="begin"/>
      </w:r>
      <w:r>
        <w:instrText xml:space="preserve"> REF _Ref463016939 \h </w:instrText>
      </w:r>
      <w:r>
        <w:fldChar w:fldCharType="separate"/>
      </w:r>
      <w:r w:rsidRPr="00501915">
        <w:t xml:space="preserve">Figure </w:t>
      </w:r>
      <w:r>
        <w:rPr>
          <w:noProof/>
        </w:rPr>
        <w:t>1</w:t>
      </w:r>
      <w:r>
        <w:fldChar w:fldCharType="end"/>
      </w:r>
      <w:r>
        <w:t xml:space="preserve">– in which it detected the sync signals.  </w:t>
      </w:r>
    </w:p>
    <w:p w14:paraId="2FE0F79C" w14:textId="77777777" w:rsidR="00B308FB" w:rsidRPr="00A15CAF" w:rsidRDefault="00B308FB" w:rsidP="00B308FB">
      <w:pPr>
        <w:rPr>
          <w:sz w:val="24"/>
          <w:szCs w:val="24"/>
        </w:rPr>
      </w:pPr>
      <w:r>
        <w:rPr>
          <w:b/>
        </w:rPr>
        <w:lastRenderedPageBreak/>
        <w:t>Proposal 6</w:t>
      </w:r>
      <w:r w:rsidRPr="00582C7C">
        <w:rPr>
          <w:b/>
        </w:rPr>
        <w:t xml:space="preserve">: </w:t>
      </w:r>
      <w:r>
        <w:rPr>
          <w:b/>
        </w:rPr>
        <w:t>BS needs to convey alongside the sync signals the OFDM symbol index (or another suitable notion of transmission time) of the transmission.</w:t>
      </w:r>
    </w:p>
    <w:p w14:paraId="6487D73D" w14:textId="77777777" w:rsidR="00942DEB" w:rsidRDefault="00942DEB" w:rsidP="00E42748">
      <w:pPr>
        <w:jc w:val="left"/>
      </w:pPr>
    </w:p>
    <w:p w14:paraId="4A592882" w14:textId="77777777" w:rsidR="00FD0272" w:rsidRDefault="00AA06BF" w:rsidP="00AA06BF">
      <w:pPr>
        <w:pStyle w:val="Heading2"/>
      </w:pPr>
      <w:r>
        <w:t>Design of a nominal sync symbol</w:t>
      </w:r>
    </w:p>
    <w:p w14:paraId="5973EBE6" w14:textId="77777777" w:rsidR="00FD0272" w:rsidRDefault="00942DEB" w:rsidP="00FD0272">
      <w:pPr>
        <w:jc w:val="left"/>
      </w:pPr>
      <w:r>
        <w:t>As discussed before and shown in Figure 1, the base station transmits a burst of synchronization signals within a sync period, and each burst consists of a number of nominal sync symbols (potentially differently beam-</w:t>
      </w:r>
      <w:r w:rsidR="00F97D24">
        <w:t>forme</w:t>
      </w:r>
      <w:r>
        <w:t xml:space="preserve">d).  </w:t>
      </w:r>
      <w:r w:rsidR="00F97D24">
        <w:t xml:space="preserve">In what follows, we provide our views on the design of a nominal sync symbol. </w:t>
      </w:r>
    </w:p>
    <w:p w14:paraId="4F2DCD3E" w14:textId="77777777" w:rsidR="00F97D24" w:rsidRDefault="00F97D24" w:rsidP="00FD0272">
      <w:pPr>
        <w:jc w:val="left"/>
      </w:pPr>
      <w:r>
        <w:t>As in the legacy</w:t>
      </w:r>
      <w:r w:rsidR="00000F2A">
        <w:t xml:space="preserve"> LTE synchronization</w:t>
      </w:r>
      <w:r>
        <w:t>, the sync transmission should at least consist of</w:t>
      </w:r>
    </w:p>
    <w:p w14:paraId="2B279293" w14:textId="77777777" w:rsidR="00F97D24" w:rsidRDefault="00F97D24">
      <w:pPr>
        <w:pStyle w:val="ListParagraph"/>
        <w:numPr>
          <w:ilvl w:val="0"/>
          <w:numId w:val="8"/>
        </w:numPr>
        <w:jc w:val="left"/>
      </w:pPr>
      <w:r>
        <w:t xml:space="preserve">A primary sync signal (PSS): to provide </w:t>
      </w:r>
      <w:r w:rsidR="00B514A8">
        <w:t>timing and frequency synchronization and some part of PCID.</w:t>
      </w:r>
    </w:p>
    <w:p w14:paraId="282EDD15" w14:textId="77777777" w:rsidR="00B514A8" w:rsidRDefault="00B514A8" w:rsidP="00B514A8">
      <w:pPr>
        <w:pStyle w:val="ListParagraph"/>
        <w:numPr>
          <w:ilvl w:val="0"/>
          <w:numId w:val="8"/>
        </w:numPr>
        <w:jc w:val="left"/>
      </w:pPr>
      <w:r>
        <w:t xml:space="preserve">A secondary sync signal (SSS): to provide the full PCID and also some information about the sub-frame/frame index number. </w:t>
      </w:r>
    </w:p>
    <w:p w14:paraId="28E433A4" w14:textId="77777777" w:rsidR="00B514A8" w:rsidRDefault="00B514A8" w:rsidP="00B514A8">
      <w:pPr>
        <w:pStyle w:val="ListParagraph"/>
        <w:numPr>
          <w:ilvl w:val="0"/>
          <w:numId w:val="8"/>
        </w:numPr>
        <w:jc w:val="left"/>
      </w:pPr>
      <w:r>
        <w:t xml:space="preserve">A sync channel (PBCH): to provide the minimum system information required for cell acquisition/initial access. </w:t>
      </w:r>
    </w:p>
    <w:p w14:paraId="559DD938" w14:textId="77777777" w:rsidR="005943AF" w:rsidRDefault="00B514A8" w:rsidP="005943AF">
      <w:pPr>
        <w:jc w:val="left"/>
      </w:pPr>
      <w:r>
        <w:t xml:space="preserve">In a mmwave system the transmission of PBCH </w:t>
      </w:r>
      <w:r w:rsidR="00B819A1">
        <w:t>must</w:t>
      </w:r>
      <w:r>
        <w:t xml:space="preserve"> be directional similar to the PSS/SSS signals, hence it would be beneficial to multiplex all three transmissions </w:t>
      </w:r>
      <w:r w:rsidR="00B819A1">
        <w:t>within a nominal sync symbol. There are different options for multiplexing PSS/SSS/PBCH: (a) TDM, (b) FDM, or (c) any combination of the two.</w:t>
      </w:r>
      <w:r w:rsidR="005943AF">
        <w:t xml:space="preserve"> </w:t>
      </w:r>
    </w:p>
    <w:p w14:paraId="23A30D7E" w14:textId="77777777" w:rsidR="00AD720E" w:rsidRDefault="00B819A1" w:rsidP="005943AF">
      <w:pPr>
        <w:jc w:val="left"/>
      </w:pPr>
      <w:r>
        <w:t>Figure 3 demonstrates examples of TDM and FDM approaches</w:t>
      </w:r>
      <w:r w:rsidR="005943AF">
        <w:t xml:space="preserve">, Table 1 provides a qualitative comparison of the two approaches. </w:t>
      </w:r>
    </w:p>
    <w:p w14:paraId="41494D93" w14:textId="77777777" w:rsidR="00F9409B" w:rsidRDefault="00B308FB" w:rsidP="00F9409B">
      <w:pPr>
        <w:keepNext/>
        <w:jc w:val="center"/>
      </w:pPr>
      <w:r>
        <w:object w:dxaOrig="4792" w:dyaOrig="4325" w14:anchorId="48B9DD45">
          <v:shape id="_x0000_i1027" type="#_x0000_t75" style="width:223.5pt;height:209.1pt" o:ole="">
            <v:imagedata r:id="rId12" o:title=""/>
          </v:shape>
          <o:OLEObject Type="Embed" ProgID="Visio.Drawing.11" ShapeID="_x0000_i1027" DrawAspect="Content" ObjectID="_1536776308" r:id="rId13"/>
        </w:object>
      </w:r>
    </w:p>
    <w:p w14:paraId="3431E016" w14:textId="77777777" w:rsidR="00F9409B" w:rsidRDefault="00F9409B" w:rsidP="00F9409B">
      <w:pPr>
        <w:pStyle w:val="Caption"/>
        <w:jc w:val="center"/>
        <w:rPr>
          <w:noProof/>
          <w:sz w:val="22"/>
          <w:szCs w:val="22"/>
        </w:rPr>
      </w:pPr>
      <w:r w:rsidRPr="00F9409B">
        <w:rPr>
          <w:sz w:val="22"/>
          <w:szCs w:val="22"/>
        </w:rPr>
        <w:t xml:space="preserve">Figure </w:t>
      </w:r>
      <w:r w:rsidRPr="00F9409B">
        <w:rPr>
          <w:sz w:val="22"/>
          <w:szCs w:val="22"/>
        </w:rPr>
        <w:fldChar w:fldCharType="begin"/>
      </w:r>
      <w:r w:rsidRPr="00F9409B">
        <w:rPr>
          <w:sz w:val="22"/>
          <w:szCs w:val="22"/>
        </w:rPr>
        <w:instrText xml:space="preserve"> SEQ Figure \* ARABIC </w:instrText>
      </w:r>
      <w:r w:rsidRPr="00F9409B">
        <w:rPr>
          <w:sz w:val="22"/>
          <w:szCs w:val="22"/>
        </w:rPr>
        <w:fldChar w:fldCharType="separate"/>
      </w:r>
      <w:r w:rsidR="00854956">
        <w:rPr>
          <w:noProof/>
          <w:sz w:val="22"/>
          <w:szCs w:val="22"/>
        </w:rPr>
        <w:t>3</w:t>
      </w:r>
      <w:r w:rsidRPr="00F9409B">
        <w:rPr>
          <w:sz w:val="22"/>
          <w:szCs w:val="22"/>
        </w:rPr>
        <w:fldChar w:fldCharType="end"/>
      </w:r>
      <w:r w:rsidRPr="00F9409B">
        <w:rPr>
          <w:noProof/>
          <w:sz w:val="22"/>
          <w:szCs w:val="22"/>
        </w:rPr>
        <w:t xml:space="preserve"> -- nominal sync symbol design (TDM vs FDM)</w:t>
      </w:r>
    </w:p>
    <w:p w14:paraId="786E841B" w14:textId="77777777" w:rsidR="0089636E" w:rsidRDefault="0089636E" w:rsidP="00AD720E">
      <w:pPr>
        <w:jc w:val="left"/>
      </w:pPr>
    </w:p>
    <w:p w14:paraId="42CEF107" w14:textId="1B5D6721" w:rsidR="00AD720E" w:rsidRDefault="00AD720E" w:rsidP="00291AA1">
      <w:pPr>
        <w:jc w:val="left"/>
      </w:pPr>
      <w:r>
        <w:t xml:space="preserve">In the TDM approach, the transmission of each component (PSS/SSS/PBCH) may span the whole available minimum tx bandwidth in frequency domain, and only a fraction of nominal sync symbol duration in time domain. In the FDM approach, the transmission of each component spans the whole duration of a nominal sync symbol in time domain and occupies only a fraction of </w:t>
      </w:r>
      <w:r w:rsidR="006532DC">
        <w:t xml:space="preserve">the </w:t>
      </w:r>
      <w:r>
        <w:t xml:space="preserve">available bandwidth. </w:t>
      </w:r>
      <w:r w:rsidR="00291AA1">
        <w:t xml:space="preserve">In the example shown in Figure 3, the TDM design uses 4x wider subcarrier spacing compared to the FDM design, and hence each (PSS/SSS/PBCH) sub-symbol duration is 4x shorter than </w:t>
      </w:r>
      <w:r w:rsidR="00A457AC">
        <w:t>the F</w:t>
      </w:r>
      <w:r w:rsidR="00291AA1">
        <w:t>DM design.</w:t>
      </w:r>
    </w:p>
    <w:p w14:paraId="18015EB4" w14:textId="77777777" w:rsidR="00AD720E" w:rsidRDefault="00AD720E">
      <w:pPr>
        <w:jc w:val="left"/>
      </w:pPr>
      <w:r>
        <w:lastRenderedPageBreak/>
        <w:t xml:space="preserve">Although the subcarrier spacing factor in the TDM approach is larger </w:t>
      </w:r>
      <w:r w:rsidR="006532DC">
        <w:t xml:space="preserve">and the tx duration of each component is </w:t>
      </w:r>
      <w:r>
        <w:t>shorter in time domain, we note the total tx energy of each component in the two approaches is the same.</w:t>
      </w:r>
    </w:p>
    <w:p w14:paraId="079AEBF9" w14:textId="77777777" w:rsidR="00AD720E" w:rsidRDefault="00AD720E" w:rsidP="005943AF">
      <w:pPr>
        <w:jc w:val="left"/>
      </w:pPr>
    </w:p>
    <w:p w14:paraId="5D5B54FF" w14:textId="77777777" w:rsidR="00501915" w:rsidRPr="00501915" w:rsidRDefault="00501915" w:rsidP="00501915">
      <w:pPr>
        <w:pStyle w:val="Caption"/>
        <w:keepNext/>
        <w:jc w:val="center"/>
        <w:rPr>
          <w:sz w:val="22"/>
          <w:szCs w:val="22"/>
        </w:rPr>
      </w:pPr>
      <w:r w:rsidRPr="00501915">
        <w:rPr>
          <w:sz w:val="22"/>
          <w:szCs w:val="22"/>
        </w:rPr>
        <w:t xml:space="preserve">Table </w:t>
      </w:r>
      <w:r w:rsidRPr="00501915">
        <w:rPr>
          <w:sz w:val="22"/>
          <w:szCs w:val="22"/>
        </w:rPr>
        <w:fldChar w:fldCharType="begin"/>
      </w:r>
      <w:r w:rsidRPr="00501915">
        <w:rPr>
          <w:sz w:val="22"/>
          <w:szCs w:val="22"/>
        </w:rPr>
        <w:instrText xml:space="preserve"> SEQ Table \* ARABIC </w:instrText>
      </w:r>
      <w:r w:rsidRPr="00501915">
        <w:rPr>
          <w:sz w:val="22"/>
          <w:szCs w:val="22"/>
        </w:rPr>
        <w:fldChar w:fldCharType="separate"/>
      </w:r>
      <w:r w:rsidRPr="00501915">
        <w:rPr>
          <w:noProof/>
          <w:sz w:val="22"/>
          <w:szCs w:val="22"/>
        </w:rPr>
        <w:t>1</w:t>
      </w:r>
      <w:r w:rsidRPr="00501915">
        <w:rPr>
          <w:sz w:val="22"/>
          <w:szCs w:val="22"/>
        </w:rPr>
        <w:fldChar w:fldCharType="end"/>
      </w:r>
      <w:r w:rsidRPr="00501915">
        <w:rPr>
          <w:sz w:val="22"/>
          <w:szCs w:val="22"/>
        </w:rPr>
        <w:t xml:space="preserve"> -- TDM vs FDM comparison</w:t>
      </w:r>
    </w:p>
    <w:tbl>
      <w:tblPr>
        <w:tblStyle w:val="GridTable3"/>
        <w:tblW w:w="928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
      <w:tblGrid>
        <w:gridCol w:w="3002"/>
        <w:gridCol w:w="1753"/>
        <w:gridCol w:w="1890"/>
        <w:gridCol w:w="2642"/>
      </w:tblGrid>
      <w:tr w:rsidR="00751F30" w:rsidRPr="00751F30" w14:paraId="3AC93369" w14:textId="77777777" w:rsidTr="0079681C">
        <w:trPr>
          <w:cnfStyle w:val="100000000000" w:firstRow="1" w:lastRow="0" w:firstColumn="0" w:lastColumn="0" w:oddVBand="0" w:evenVBand="0" w:oddHBand="0" w:evenHBand="0" w:firstRowFirstColumn="0" w:firstRowLastColumn="0" w:lastRowFirstColumn="0" w:lastRowLastColumn="0"/>
          <w:trHeight w:val="584"/>
          <w:jc w:val="center"/>
        </w:trPr>
        <w:tc>
          <w:tcPr>
            <w:tcW w:w="3002" w:type="dxa"/>
            <w:tcBorders>
              <w:top w:val="single" w:sz="12" w:space="0" w:color="auto"/>
              <w:left w:val="single" w:sz="12" w:space="0" w:color="auto"/>
              <w:right w:val="single" w:sz="12" w:space="0" w:color="auto"/>
            </w:tcBorders>
            <w:vAlign w:val="center"/>
            <w:hideMark/>
          </w:tcPr>
          <w:p w14:paraId="13D8948E" w14:textId="77777777" w:rsidR="00751F30" w:rsidRPr="00751F30" w:rsidRDefault="00751F30" w:rsidP="00751F30">
            <w:pPr>
              <w:jc w:val="center"/>
              <w:rPr>
                <w:sz w:val="28"/>
                <w:szCs w:val="28"/>
              </w:rPr>
            </w:pPr>
            <w:r w:rsidRPr="00751F30">
              <w:rPr>
                <w:sz w:val="28"/>
                <w:szCs w:val="28"/>
              </w:rPr>
              <w:t>Aspect</w:t>
            </w:r>
          </w:p>
        </w:tc>
        <w:tc>
          <w:tcPr>
            <w:tcW w:w="1753" w:type="dxa"/>
            <w:tcBorders>
              <w:top w:val="single" w:sz="12" w:space="0" w:color="auto"/>
              <w:left w:val="single" w:sz="12" w:space="0" w:color="auto"/>
              <w:right w:val="single" w:sz="12" w:space="0" w:color="auto"/>
            </w:tcBorders>
            <w:vAlign w:val="center"/>
            <w:hideMark/>
          </w:tcPr>
          <w:p w14:paraId="76C7BDDC" w14:textId="77777777" w:rsidR="00751F30" w:rsidRPr="00751F30" w:rsidRDefault="00751F30" w:rsidP="00751F30">
            <w:pPr>
              <w:jc w:val="center"/>
              <w:rPr>
                <w:sz w:val="28"/>
                <w:szCs w:val="28"/>
              </w:rPr>
            </w:pPr>
            <w:r w:rsidRPr="00751F30">
              <w:rPr>
                <w:sz w:val="28"/>
                <w:szCs w:val="28"/>
              </w:rPr>
              <w:t>TDM</w:t>
            </w:r>
          </w:p>
        </w:tc>
        <w:tc>
          <w:tcPr>
            <w:tcW w:w="1890" w:type="dxa"/>
            <w:tcBorders>
              <w:top w:val="single" w:sz="12" w:space="0" w:color="auto"/>
              <w:left w:val="single" w:sz="12" w:space="0" w:color="auto"/>
              <w:right w:val="single" w:sz="12" w:space="0" w:color="auto"/>
            </w:tcBorders>
            <w:vAlign w:val="center"/>
            <w:hideMark/>
          </w:tcPr>
          <w:p w14:paraId="67CB9C8D" w14:textId="77777777" w:rsidR="00751F30" w:rsidRPr="00751F30" w:rsidRDefault="00751F30" w:rsidP="00751F30">
            <w:pPr>
              <w:jc w:val="center"/>
              <w:rPr>
                <w:sz w:val="28"/>
                <w:szCs w:val="28"/>
              </w:rPr>
            </w:pPr>
            <w:r w:rsidRPr="00751F30">
              <w:rPr>
                <w:sz w:val="28"/>
                <w:szCs w:val="28"/>
              </w:rPr>
              <w:t>FDM</w:t>
            </w:r>
          </w:p>
        </w:tc>
        <w:tc>
          <w:tcPr>
            <w:tcW w:w="2642" w:type="dxa"/>
            <w:tcBorders>
              <w:top w:val="single" w:sz="12" w:space="0" w:color="auto"/>
              <w:left w:val="single" w:sz="12" w:space="0" w:color="auto"/>
              <w:right w:val="single" w:sz="12" w:space="0" w:color="auto"/>
            </w:tcBorders>
            <w:vAlign w:val="center"/>
          </w:tcPr>
          <w:p w14:paraId="0941C257" w14:textId="77777777" w:rsidR="00751F30" w:rsidRPr="00751F30" w:rsidRDefault="00751F30" w:rsidP="00751F30">
            <w:pPr>
              <w:jc w:val="center"/>
              <w:rPr>
                <w:sz w:val="28"/>
                <w:szCs w:val="28"/>
              </w:rPr>
            </w:pPr>
            <w:r w:rsidRPr="00751F30">
              <w:rPr>
                <w:sz w:val="28"/>
                <w:szCs w:val="28"/>
              </w:rPr>
              <w:t>comments</w:t>
            </w:r>
          </w:p>
        </w:tc>
      </w:tr>
      <w:tr w:rsidR="00751F30" w:rsidRPr="00751F30" w14:paraId="77CD70F9" w14:textId="77777777" w:rsidTr="0079681C">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vAlign w:val="center"/>
            <w:hideMark/>
          </w:tcPr>
          <w:p w14:paraId="53C618A3" w14:textId="2B28AA25" w:rsidR="00751F30" w:rsidRPr="00751F30" w:rsidRDefault="00B308FB" w:rsidP="00EE55F1">
            <w:pPr>
              <w:jc w:val="left"/>
            </w:pPr>
            <w:r>
              <w:t>Subcarrier</w:t>
            </w:r>
            <w:r w:rsidRPr="00751F30">
              <w:t xml:space="preserve"> </w:t>
            </w:r>
            <w:r w:rsidR="00751F30" w:rsidRPr="00751F30">
              <w:t>spacing (CP and duration</w:t>
            </w:r>
            <w:r w:rsidR="00751F30">
              <w:t xml:space="preserve"> of each sync sub-symbol</w:t>
            </w:r>
            <w:r w:rsidR="00751F30" w:rsidRPr="00751F30">
              <w:t>)</w:t>
            </w:r>
          </w:p>
        </w:tc>
        <w:tc>
          <w:tcPr>
            <w:tcW w:w="1753" w:type="dxa"/>
            <w:vAlign w:val="center"/>
            <w:hideMark/>
          </w:tcPr>
          <w:p w14:paraId="71AC08B8" w14:textId="521409AF" w:rsidR="00751F30" w:rsidRPr="00751F30" w:rsidRDefault="00B308FB" w:rsidP="00EE55F1">
            <w:pPr>
              <w:jc w:val="left"/>
            </w:pPr>
            <w:r>
              <w:t>Wider</w:t>
            </w:r>
            <w:r w:rsidRPr="00751F30">
              <w:t xml:space="preserve"> </w:t>
            </w:r>
            <w:r w:rsidR="00751F30" w:rsidRPr="00751F30">
              <w:t>(shorter)</w:t>
            </w:r>
          </w:p>
        </w:tc>
        <w:tc>
          <w:tcPr>
            <w:tcW w:w="1890" w:type="dxa"/>
            <w:vAlign w:val="center"/>
            <w:hideMark/>
          </w:tcPr>
          <w:p w14:paraId="6FD75D12" w14:textId="65C470EA" w:rsidR="00751F30" w:rsidRPr="00751F30" w:rsidRDefault="00B308FB" w:rsidP="00EE55F1">
            <w:pPr>
              <w:jc w:val="left"/>
            </w:pPr>
            <w:r>
              <w:t>Narrower</w:t>
            </w:r>
            <w:r w:rsidRPr="00751F30">
              <w:t xml:space="preserve"> </w:t>
            </w:r>
            <w:r w:rsidR="00751F30" w:rsidRPr="00751F30">
              <w:t>(longer)</w:t>
            </w:r>
          </w:p>
        </w:tc>
        <w:tc>
          <w:tcPr>
            <w:tcW w:w="2642" w:type="dxa"/>
            <w:vAlign w:val="center"/>
          </w:tcPr>
          <w:p w14:paraId="341A80D6" w14:textId="77777777" w:rsidR="00751F30" w:rsidRPr="00751F30" w:rsidRDefault="00751F30" w:rsidP="00EE55F1">
            <w:pPr>
              <w:jc w:val="left"/>
            </w:pPr>
          </w:p>
        </w:tc>
      </w:tr>
      <w:tr w:rsidR="00751F30" w:rsidRPr="00751F30" w14:paraId="792B6B9D" w14:textId="77777777" w:rsidTr="0079681C">
        <w:trPr>
          <w:trHeight w:val="584"/>
          <w:jc w:val="center"/>
        </w:trPr>
        <w:tc>
          <w:tcPr>
            <w:tcW w:w="3002" w:type="dxa"/>
            <w:vAlign w:val="center"/>
          </w:tcPr>
          <w:p w14:paraId="1F73FB7E" w14:textId="77777777" w:rsidR="00751F30" w:rsidRPr="00751F30" w:rsidRDefault="00751F30" w:rsidP="00EE55F1">
            <w:pPr>
              <w:jc w:val="left"/>
            </w:pPr>
            <w:r>
              <w:t>Timing Estimation accuracy</w:t>
            </w:r>
          </w:p>
        </w:tc>
        <w:tc>
          <w:tcPr>
            <w:tcW w:w="1753" w:type="dxa"/>
            <w:vAlign w:val="center"/>
          </w:tcPr>
          <w:p w14:paraId="3F83CE24" w14:textId="77777777" w:rsidR="00751F30" w:rsidRPr="00751F30" w:rsidRDefault="00751F30" w:rsidP="00EE55F1">
            <w:pPr>
              <w:jc w:val="left"/>
            </w:pPr>
            <w:r>
              <w:t>Better</w:t>
            </w:r>
          </w:p>
        </w:tc>
        <w:tc>
          <w:tcPr>
            <w:tcW w:w="1890" w:type="dxa"/>
            <w:vAlign w:val="center"/>
          </w:tcPr>
          <w:p w14:paraId="3E880BDA" w14:textId="77777777" w:rsidR="00751F30" w:rsidRPr="00751F30" w:rsidRDefault="00751F30" w:rsidP="00EE55F1">
            <w:pPr>
              <w:jc w:val="left"/>
            </w:pPr>
            <w:r>
              <w:t>Worse</w:t>
            </w:r>
          </w:p>
        </w:tc>
        <w:tc>
          <w:tcPr>
            <w:tcW w:w="2642" w:type="dxa"/>
            <w:vAlign w:val="center"/>
          </w:tcPr>
          <w:p w14:paraId="043B7CB2" w14:textId="77777777" w:rsidR="00751F30" w:rsidRPr="00751F30" w:rsidRDefault="006532DC" w:rsidP="00EE55F1">
            <w:pPr>
              <w:jc w:val="left"/>
            </w:pPr>
            <w:r>
              <w:t>Finer TD samples in TDM approach</w:t>
            </w:r>
          </w:p>
        </w:tc>
      </w:tr>
      <w:tr w:rsidR="00751F30" w:rsidRPr="00751F30" w14:paraId="1AF1FE31" w14:textId="77777777" w:rsidTr="0079681C">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vAlign w:val="center"/>
          </w:tcPr>
          <w:p w14:paraId="11CC53A9" w14:textId="77777777" w:rsidR="00751F30" w:rsidRPr="00751F30" w:rsidRDefault="00751F30" w:rsidP="00EE55F1">
            <w:pPr>
              <w:jc w:val="left"/>
            </w:pPr>
            <w:r w:rsidRPr="00751F30">
              <w:t>PAPR</w:t>
            </w:r>
            <w:r>
              <w:t xml:space="preserve"> of PSS</w:t>
            </w:r>
          </w:p>
        </w:tc>
        <w:tc>
          <w:tcPr>
            <w:tcW w:w="1753" w:type="dxa"/>
            <w:vAlign w:val="center"/>
          </w:tcPr>
          <w:p w14:paraId="66B223FA" w14:textId="77777777" w:rsidR="00751F30" w:rsidRPr="00751F30" w:rsidRDefault="00751F30" w:rsidP="00EE55F1">
            <w:pPr>
              <w:jc w:val="left"/>
            </w:pPr>
            <w:r w:rsidRPr="00751F30">
              <w:t xml:space="preserve">Better </w:t>
            </w:r>
          </w:p>
        </w:tc>
        <w:tc>
          <w:tcPr>
            <w:tcW w:w="1890" w:type="dxa"/>
            <w:vAlign w:val="center"/>
          </w:tcPr>
          <w:p w14:paraId="5B1B26C1" w14:textId="77777777" w:rsidR="00751F30" w:rsidRPr="00751F30" w:rsidRDefault="00751F30" w:rsidP="00EE55F1">
            <w:pPr>
              <w:jc w:val="left"/>
            </w:pPr>
            <w:r w:rsidRPr="00751F30">
              <w:t>Worse</w:t>
            </w:r>
          </w:p>
        </w:tc>
        <w:tc>
          <w:tcPr>
            <w:tcW w:w="2642" w:type="dxa"/>
            <w:vAlign w:val="center"/>
          </w:tcPr>
          <w:p w14:paraId="3BAA9A66" w14:textId="77777777" w:rsidR="00751F30" w:rsidRPr="00751F30" w:rsidRDefault="006532DC" w:rsidP="00EE55F1">
            <w:pPr>
              <w:jc w:val="left"/>
            </w:pPr>
            <w:r>
              <w:t>ZC-based PSS maintains good PAPR if not FDMed with other signals</w:t>
            </w:r>
          </w:p>
        </w:tc>
      </w:tr>
      <w:tr w:rsidR="00EE55F1" w:rsidRPr="00751F30" w14:paraId="3E6E485B" w14:textId="77777777" w:rsidTr="0079681C">
        <w:trPr>
          <w:trHeight w:val="584"/>
          <w:jc w:val="center"/>
        </w:trPr>
        <w:tc>
          <w:tcPr>
            <w:tcW w:w="3002" w:type="dxa"/>
            <w:vAlign w:val="center"/>
          </w:tcPr>
          <w:p w14:paraId="50B16E0C" w14:textId="77777777" w:rsidR="00EE55F1" w:rsidRPr="00751F30" w:rsidRDefault="00EE55F1" w:rsidP="00EE55F1">
            <w:pPr>
              <w:jc w:val="left"/>
            </w:pPr>
            <w:r w:rsidRPr="00751F30">
              <w:t>PBCH</w:t>
            </w:r>
            <w:r>
              <w:t xml:space="preserve"> demodulation</w:t>
            </w:r>
          </w:p>
        </w:tc>
        <w:tc>
          <w:tcPr>
            <w:tcW w:w="1753" w:type="dxa"/>
            <w:vAlign w:val="center"/>
          </w:tcPr>
          <w:p w14:paraId="41D7B0CE" w14:textId="77777777" w:rsidR="00EE55F1" w:rsidRPr="00751F30" w:rsidRDefault="00EE55F1" w:rsidP="00EE55F1">
            <w:pPr>
              <w:jc w:val="left"/>
            </w:pPr>
            <w:r>
              <w:t>SSS used as the reference</w:t>
            </w:r>
          </w:p>
        </w:tc>
        <w:tc>
          <w:tcPr>
            <w:tcW w:w="1890" w:type="dxa"/>
            <w:vAlign w:val="center"/>
          </w:tcPr>
          <w:p w14:paraId="0AA69EA3" w14:textId="77777777" w:rsidR="00EE55F1" w:rsidRPr="00751F30" w:rsidRDefault="00EE55F1" w:rsidP="00EE55F1">
            <w:pPr>
              <w:jc w:val="left"/>
            </w:pPr>
            <w:r>
              <w:t>Needs dedicated reference tones</w:t>
            </w:r>
          </w:p>
        </w:tc>
        <w:tc>
          <w:tcPr>
            <w:tcW w:w="2642" w:type="dxa"/>
            <w:vAlign w:val="center"/>
          </w:tcPr>
          <w:p w14:paraId="352097DA" w14:textId="77777777" w:rsidR="00EE55F1" w:rsidRPr="00751F30" w:rsidRDefault="00EE55F1" w:rsidP="00EE55F1">
            <w:pPr>
              <w:jc w:val="left"/>
            </w:pPr>
            <w:r>
              <w:t>TDM provides better resource utilization</w:t>
            </w:r>
          </w:p>
        </w:tc>
      </w:tr>
      <w:tr w:rsidR="00EE55F1" w:rsidRPr="00751F30" w14:paraId="68F4E2E6" w14:textId="77777777" w:rsidTr="0079681C">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vAlign w:val="center"/>
          </w:tcPr>
          <w:p w14:paraId="27DAB3CF" w14:textId="77777777" w:rsidR="00EE55F1" w:rsidRPr="00751F30" w:rsidRDefault="00EE55F1" w:rsidP="00EE55F1">
            <w:pPr>
              <w:jc w:val="left"/>
            </w:pPr>
            <w:r>
              <w:t>Sensitivity to frequency offset/ phase noise</w:t>
            </w:r>
          </w:p>
        </w:tc>
        <w:tc>
          <w:tcPr>
            <w:tcW w:w="1753" w:type="dxa"/>
            <w:vAlign w:val="center"/>
          </w:tcPr>
          <w:p w14:paraId="0C30E37F" w14:textId="77777777" w:rsidR="00EE55F1" w:rsidRPr="00751F30" w:rsidRDefault="00EE55F1" w:rsidP="00EE55F1">
            <w:pPr>
              <w:jc w:val="left"/>
            </w:pPr>
            <w:r>
              <w:t xml:space="preserve">Less </w:t>
            </w:r>
          </w:p>
        </w:tc>
        <w:tc>
          <w:tcPr>
            <w:tcW w:w="1890" w:type="dxa"/>
            <w:vAlign w:val="center"/>
          </w:tcPr>
          <w:p w14:paraId="4A9423B4" w14:textId="77777777" w:rsidR="00EE55F1" w:rsidRPr="00751F30" w:rsidRDefault="00EE55F1" w:rsidP="00EE55F1">
            <w:pPr>
              <w:jc w:val="left"/>
            </w:pPr>
            <w:r>
              <w:t>More</w:t>
            </w:r>
          </w:p>
        </w:tc>
        <w:tc>
          <w:tcPr>
            <w:tcW w:w="2642" w:type="dxa"/>
            <w:vAlign w:val="center"/>
          </w:tcPr>
          <w:p w14:paraId="302A7C72" w14:textId="77777777" w:rsidR="00EE55F1" w:rsidRPr="00751F30" w:rsidRDefault="00EE55F1" w:rsidP="00EE55F1">
            <w:pPr>
              <w:jc w:val="left"/>
            </w:pPr>
          </w:p>
        </w:tc>
      </w:tr>
      <w:tr w:rsidR="00EE55F1" w:rsidRPr="00751F30" w14:paraId="17DB2AD8" w14:textId="77777777" w:rsidTr="0079681C">
        <w:trPr>
          <w:trHeight w:val="584"/>
          <w:jc w:val="center"/>
        </w:trPr>
        <w:tc>
          <w:tcPr>
            <w:tcW w:w="3002" w:type="dxa"/>
            <w:vAlign w:val="center"/>
          </w:tcPr>
          <w:p w14:paraId="15B18852" w14:textId="77777777" w:rsidR="00EE55F1" w:rsidRDefault="00EE55F1" w:rsidP="00EE55F1">
            <w:pPr>
              <w:jc w:val="left"/>
            </w:pPr>
            <w:r>
              <w:t>Initial cell search complexity</w:t>
            </w:r>
          </w:p>
        </w:tc>
        <w:tc>
          <w:tcPr>
            <w:tcW w:w="3643" w:type="dxa"/>
            <w:gridSpan w:val="2"/>
            <w:vAlign w:val="center"/>
          </w:tcPr>
          <w:p w14:paraId="56C76171" w14:textId="77777777" w:rsidR="00EE55F1" w:rsidRDefault="00EE55F1" w:rsidP="00EE55F1">
            <w:pPr>
              <w:jc w:val="left"/>
            </w:pPr>
            <w:r>
              <w:t xml:space="preserve">Comparable </w:t>
            </w:r>
          </w:p>
        </w:tc>
        <w:tc>
          <w:tcPr>
            <w:tcW w:w="2642" w:type="dxa"/>
            <w:vAlign w:val="center"/>
          </w:tcPr>
          <w:p w14:paraId="39F219F9" w14:textId="77777777" w:rsidR="00EE55F1" w:rsidRPr="00751F30" w:rsidRDefault="00EE55F1" w:rsidP="00EE55F1">
            <w:pPr>
              <w:jc w:val="left"/>
            </w:pPr>
            <w:r>
              <w:t>See note 1</w:t>
            </w:r>
          </w:p>
        </w:tc>
      </w:tr>
      <w:tr w:rsidR="00EE55F1" w:rsidRPr="00751F30" w14:paraId="126C04E9" w14:textId="77777777" w:rsidTr="0079681C">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vAlign w:val="center"/>
          </w:tcPr>
          <w:p w14:paraId="6E59326B" w14:textId="77777777" w:rsidR="00362AE9" w:rsidRDefault="00362AE9" w:rsidP="00EE55F1">
            <w:pPr>
              <w:jc w:val="left"/>
            </w:pPr>
            <w:r>
              <w:t>N</w:t>
            </w:r>
            <w:r w:rsidR="00EE55F1">
              <w:t>eighbor cell search complexity</w:t>
            </w:r>
          </w:p>
          <w:p w14:paraId="4E075B96" w14:textId="64A56620" w:rsidR="00EE55F1" w:rsidRDefault="00362AE9" w:rsidP="00362AE9">
            <w:pPr>
              <w:jc w:val="left"/>
            </w:pPr>
            <w:r>
              <w:t>(in async standalone mode)</w:t>
            </w:r>
          </w:p>
        </w:tc>
        <w:tc>
          <w:tcPr>
            <w:tcW w:w="1753" w:type="dxa"/>
            <w:vAlign w:val="center"/>
          </w:tcPr>
          <w:p w14:paraId="0B516F66" w14:textId="77777777" w:rsidR="00EE55F1" w:rsidRDefault="00EE55F1" w:rsidP="00EE55F1">
            <w:pPr>
              <w:jc w:val="left"/>
            </w:pPr>
            <w:r>
              <w:t>Worse (</w:t>
            </w:r>
            <w:bookmarkStart w:id="1" w:name="_GoBack"/>
            <w:r>
              <w:t>4X</w:t>
            </w:r>
            <w:bookmarkEnd w:id="1"/>
            <w:r>
              <w:t>)</w:t>
            </w:r>
          </w:p>
        </w:tc>
        <w:tc>
          <w:tcPr>
            <w:tcW w:w="1890" w:type="dxa"/>
            <w:vAlign w:val="center"/>
          </w:tcPr>
          <w:p w14:paraId="4E2B50BB" w14:textId="77777777" w:rsidR="00EE55F1" w:rsidRDefault="00EE55F1" w:rsidP="00EE55F1">
            <w:pPr>
              <w:jc w:val="left"/>
            </w:pPr>
            <w:r>
              <w:t xml:space="preserve">Better </w:t>
            </w:r>
          </w:p>
        </w:tc>
        <w:tc>
          <w:tcPr>
            <w:tcW w:w="2642" w:type="dxa"/>
            <w:vAlign w:val="center"/>
          </w:tcPr>
          <w:p w14:paraId="6EC4E402" w14:textId="77777777" w:rsidR="00EE55F1" w:rsidRDefault="00EE55F1" w:rsidP="00EE55F1">
            <w:pPr>
              <w:jc w:val="left"/>
            </w:pPr>
            <w:r>
              <w:t>See note 1</w:t>
            </w:r>
          </w:p>
        </w:tc>
      </w:tr>
      <w:tr w:rsidR="00AD720E" w:rsidRPr="00751F30" w14:paraId="64A451B3" w14:textId="77777777" w:rsidTr="0079681C">
        <w:trPr>
          <w:trHeight w:val="584"/>
          <w:jc w:val="center"/>
        </w:trPr>
        <w:tc>
          <w:tcPr>
            <w:tcW w:w="3002" w:type="dxa"/>
            <w:vAlign w:val="center"/>
            <w:hideMark/>
          </w:tcPr>
          <w:p w14:paraId="55050C93" w14:textId="77777777" w:rsidR="00AD720E" w:rsidRPr="00751F30" w:rsidRDefault="00AD720E" w:rsidP="00EE55F1">
            <w:pPr>
              <w:jc w:val="left"/>
            </w:pPr>
            <w:r>
              <w:t>Frequency estimation accuracy</w:t>
            </w:r>
          </w:p>
        </w:tc>
        <w:tc>
          <w:tcPr>
            <w:tcW w:w="1753" w:type="dxa"/>
            <w:vAlign w:val="center"/>
          </w:tcPr>
          <w:p w14:paraId="3DC04A81" w14:textId="77777777" w:rsidR="00AD720E" w:rsidRPr="00751F30" w:rsidRDefault="00AD720E" w:rsidP="00EE55F1">
            <w:pPr>
              <w:jc w:val="left"/>
            </w:pPr>
            <w:r>
              <w:t>Better</w:t>
            </w:r>
          </w:p>
        </w:tc>
        <w:tc>
          <w:tcPr>
            <w:tcW w:w="1890" w:type="dxa"/>
            <w:vAlign w:val="center"/>
          </w:tcPr>
          <w:p w14:paraId="14F70E4F" w14:textId="77777777" w:rsidR="00AD720E" w:rsidRPr="00751F30" w:rsidRDefault="00AD720E" w:rsidP="00EE55F1">
            <w:pPr>
              <w:jc w:val="left"/>
            </w:pPr>
            <w:r>
              <w:t>Worse</w:t>
            </w:r>
          </w:p>
        </w:tc>
        <w:tc>
          <w:tcPr>
            <w:tcW w:w="2642" w:type="dxa"/>
            <w:vAlign w:val="center"/>
          </w:tcPr>
          <w:p w14:paraId="64EC9F33" w14:textId="77777777" w:rsidR="00AD720E" w:rsidRPr="00751F30" w:rsidRDefault="00AD720E" w:rsidP="00EE55F1">
            <w:pPr>
              <w:jc w:val="left"/>
            </w:pPr>
            <w:r>
              <w:t>See note 2</w:t>
            </w:r>
          </w:p>
        </w:tc>
      </w:tr>
      <w:tr w:rsidR="00EE55F1" w:rsidRPr="00751F30" w14:paraId="1C667AA2" w14:textId="77777777" w:rsidTr="0079681C">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vAlign w:val="center"/>
            <w:hideMark/>
          </w:tcPr>
          <w:p w14:paraId="0EDF28A1" w14:textId="77777777" w:rsidR="00EE55F1" w:rsidRPr="00751F30" w:rsidRDefault="00EE55F1" w:rsidP="00EE55F1">
            <w:pPr>
              <w:jc w:val="left"/>
            </w:pPr>
            <w:r>
              <w:t xml:space="preserve">Receive beam selection latency </w:t>
            </w:r>
            <w:r w:rsidRPr="00751F30">
              <w:t xml:space="preserve"> </w:t>
            </w:r>
          </w:p>
        </w:tc>
        <w:tc>
          <w:tcPr>
            <w:tcW w:w="1753" w:type="dxa"/>
            <w:vAlign w:val="center"/>
            <w:hideMark/>
          </w:tcPr>
          <w:p w14:paraId="222671D8" w14:textId="77777777" w:rsidR="00EE55F1" w:rsidRPr="00751F30" w:rsidRDefault="00EE55F1" w:rsidP="00EE55F1">
            <w:pPr>
              <w:jc w:val="left"/>
            </w:pPr>
            <w:r w:rsidRPr="00751F30">
              <w:t>Better</w:t>
            </w:r>
          </w:p>
        </w:tc>
        <w:tc>
          <w:tcPr>
            <w:tcW w:w="1890" w:type="dxa"/>
            <w:vAlign w:val="center"/>
            <w:hideMark/>
          </w:tcPr>
          <w:p w14:paraId="37EA3EA4" w14:textId="77777777" w:rsidR="00EE55F1" w:rsidRPr="00751F30" w:rsidRDefault="00EE55F1" w:rsidP="00EE55F1">
            <w:pPr>
              <w:jc w:val="left"/>
            </w:pPr>
            <w:r w:rsidRPr="00751F30">
              <w:t>Worse</w:t>
            </w:r>
          </w:p>
        </w:tc>
        <w:tc>
          <w:tcPr>
            <w:tcW w:w="2642" w:type="dxa"/>
            <w:vAlign w:val="center"/>
          </w:tcPr>
          <w:p w14:paraId="3071E4E2" w14:textId="77777777" w:rsidR="00EE55F1" w:rsidRPr="00751F30" w:rsidRDefault="00EE55F1" w:rsidP="00EE55F1">
            <w:pPr>
              <w:jc w:val="left"/>
            </w:pPr>
            <w:r>
              <w:t>See note 3</w:t>
            </w:r>
          </w:p>
        </w:tc>
      </w:tr>
    </w:tbl>
    <w:p w14:paraId="227B6C19" w14:textId="77777777" w:rsidR="00751F30" w:rsidRDefault="00751F30" w:rsidP="005943AF">
      <w:pPr>
        <w:jc w:val="left"/>
      </w:pPr>
    </w:p>
    <w:p w14:paraId="73EECD5A" w14:textId="63844749" w:rsidR="00EE55F1" w:rsidRDefault="00EB7B00" w:rsidP="00003F4D">
      <w:pPr>
        <w:jc w:val="left"/>
      </w:pPr>
      <w:r>
        <w:t xml:space="preserve">Note 1: </w:t>
      </w:r>
      <w:r w:rsidR="00AD720E">
        <w:t>in the TDM approach, the PSS searcher should process more samples due to higher sampling rate</w:t>
      </w:r>
      <w:r w:rsidR="008453CA">
        <w:t xml:space="preserve"> compared to the FDM approach</w:t>
      </w:r>
      <w:r w:rsidR="00AD720E">
        <w:t xml:space="preserve">. However, the larger tone spacing in the TDM approach provides more resilience to the initial CFO (carrier frequency offset) and hence a smaller number of CFO hypotheses are needed during the initial acquisition. </w:t>
      </w:r>
      <w:r w:rsidR="00003F4D">
        <w:t xml:space="preserve">Hence there is a trade-off between the number of time and frequency hypotheses for TDM and FDM approaches. </w:t>
      </w:r>
      <w:r w:rsidR="00AD720E">
        <w:t>During the neighbor cell search</w:t>
      </w:r>
      <w:r w:rsidR="004947B6">
        <w:t xml:space="preserve"> in async standalone mode</w:t>
      </w:r>
      <w:r w:rsidR="00AD720E">
        <w:t xml:space="preserve">, the CFO may not be </w:t>
      </w:r>
      <w:r w:rsidR="00003F4D">
        <w:t xml:space="preserve">an issue and </w:t>
      </w:r>
      <w:r w:rsidR="00AD720E">
        <w:t xml:space="preserve">the </w:t>
      </w:r>
      <w:r w:rsidR="00003F4D">
        <w:t xml:space="preserve">complexity of the </w:t>
      </w:r>
      <w:r w:rsidR="00AD720E">
        <w:t xml:space="preserve">searcher for TDM approach </w:t>
      </w:r>
      <w:r w:rsidR="00003F4D">
        <w:t>may be higher (the actual effect on the UE implementation is to be investigated).</w:t>
      </w:r>
    </w:p>
    <w:p w14:paraId="2B48E078" w14:textId="0655461C" w:rsidR="00EE55F1" w:rsidRDefault="00AD720E" w:rsidP="001A74A8">
      <w:pPr>
        <w:jc w:val="left"/>
      </w:pPr>
      <w:r>
        <w:t xml:space="preserve">Note 2: </w:t>
      </w:r>
      <w:r w:rsidR="00C575FE">
        <w:t xml:space="preserve">the specific TDM design, proposed in Figure 3, consists of 2 </w:t>
      </w:r>
      <w:r w:rsidR="001A74A8">
        <w:t>sub-</w:t>
      </w:r>
      <w:r w:rsidR="00C575FE">
        <w:t xml:space="preserve">symbols of PBCH transmitted at the beginning and </w:t>
      </w:r>
      <w:r w:rsidR="00D37EDB">
        <w:t xml:space="preserve">the </w:t>
      </w:r>
      <w:r w:rsidR="00C575FE">
        <w:t xml:space="preserve">end of a nominal sync symbol. We further propose that signal transmitted within these two </w:t>
      </w:r>
      <w:r w:rsidR="001A74A8">
        <w:t>sub-</w:t>
      </w:r>
      <w:r w:rsidR="00C575FE">
        <w:t>symbols be the same (e.g. same redundancy version). This repeating structure can be used to provide a fine</w:t>
      </w:r>
      <w:r w:rsidR="006532DC">
        <w:t>r</w:t>
      </w:r>
      <w:r w:rsidR="00C575FE">
        <w:t xml:space="preserve"> frequency offset estimation. </w:t>
      </w:r>
    </w:p>
    <w:p w14:paraId="25D82F4A" w14:textId="04C702DE" w:rsidR="00C575FE" w:rsidRDefault="00C575FE" w:rsidP="00EE55F1">
      <w:pPr>
        <w:jc w:val="left"/>
      </w:pPr>
      <w:r>
        <w:t xml:space="preserve">Note 3: the sync signals can provide a reference to the UEs to </w:t>
      </w:r>
      <w:r w:rsidR="00D37EDB">
        <w:t xml:space="preserve">refine the </w:t>
      </w:r>
      <w:r>
        <w:t xml:space="preserve">rx beam on the selected sub-array. </w:t>
      </w:r>
      <w:r w:rsidR="00D37EDB">
        <w:t xml:space="preserve">That is, having </w:t>
      </w:r>
      <w:r>
        <w:t xml:space="preserve">multiple signals TDMed within a nominal sync symbol can reduce the latency of the rx beam selection by allowing the UE to try multiple </w:t>
      </w:r>
      <w:r w:rsidR="00D37EDB">
        <w:t xml:space="preserve">receive </w:t>
      </w:r>
      <w:r>
        <w:t xml:space="preserve">beams </w:t>
      </w:r>
      <w:r w:rsidR="00D37EDB">
        <w:t>for</w:t>
      </w:r>
      <w:r>
        <w:t xml:space="preserve"> different </w:t>
      </w:r>
      <w:r w:rsidR="00D37EDB">
        <w:t xml:space="preserve">sub-symbols </w:t>
      </w:r>
      <w:r>
        <w:t xml:space="preserve">of </w:t>
      </w:r>
      <w:r w:rsidR="00D37EDB">
        <w:t xml:space="preserve">one nominal </w:t>
      </w:r>
      <w:r>
        <w:t>sync symbol.</w:t>
      </w:r>
    </w:p>
    <w:p w14:paraId="719AFF99" w14:textId="77777777" w:rsidR="00EE55F1" w:rsidRDefault="00C575FE">
      <w:pPr>
        <w:jc w:val="left"/>
      </w:pPr>
      <w:r>
        <w:lastRenderedPageBreak/>
        <w:t xml:space="preserve">Note 4: the small CP size of the TDM approach can increase the sensitivity to the delay spread. However at low operating SNR, the corresponding degradation is expected to be marginal. </w:t>
      </w:r>
      <w:r w:rsidR="006532DC">
        <w:t xml:space="preserve">Our </w:t>
      </w:r>
      <w:r>
        <w:t>study results also confirm this. [</w:t>
      </w:r>
      <w:r w:rsidR="004B795C">
        <w:t>2</w:t>
      </w:r>
      <w:r>
        <w:t>]</w:t>
      </w:r>
    </w:p>
    <w:p w14:paraId="624C88FD" w14:textId="77777777" w:rsidR="00C575FE" w:rsidRDefault="00C575FE" w:rsidP="00C575FE">
      <w:pPr>
        <w:jc w:val="left"/>
      </w:pPr>
      <w:r>
        <w:t xml:space="preserve">Note 5: transmitting the </w:t>
      </w:r>
      <w:r w:rsidR="009E1DE1">
        <w:t xml:space="preserve">sync signals over a wider bandwidth in the TDM approach can be beneficial by providing </w:t>
      </w:r>
      <w:r w:rsidR="006532DC">
        <w:t xml:space="preserve">more </w:t>
      </w:r>
      <w:r w:rsidR="009E1DE1">
        <w:t xml:space="preserve">frequency diversity. </w:t>
      </w:r>
    </w:p>
    <w:p w14:paraId="2D304E38" w14:textId="77777777" w:rsidR="0089636E" w:rsidRDefault="0089636E" w:rsidP="00AD720E">
      <w:pPr>
        <w:jc w:val="left"/>
      </w:pPr>
    </w:p>
    <w:p w14:paraId="31357AEF" w14:textId="77777777" w:rsidR="00AD720E" w:rsidRDefault="00AD720E" w:rsidP="0089636E">
      <w:pPr>
        <w:jc w:val="left"/>
      </w:pPr>
      <w:r>
        <w:t>Based on th</w:t>
      </w:r>
      <w:r w:rsidR="0089636E">
        <w:t>e above</w:t>
      </w:r>
      <w:r>
        <w:t xml:space="preserve"> comparison, we propose to adopt the TDM approach. </w:t>
      </w:r>
    </w:p>
    <w:p w14:paraId="6BB9EC54" w14:textId="61C5B784" w:rsidR="003860A1" w:rsidRPr="00A15CAF" w:rsidRDefault="003860A1" w:rsidP="003860A1">
      <w:pPr>
        <w:rPr>
          <w:sz w:val="24"/>
          <w:szCs w:val="24"/>
        </w:rPr>
      </w:pPr>
      <w:r>
        <w:rPr>
          <w:b/>
        </w:rPr>
        <w:t xml:space="preserve">Proposal </w:t>
      </w:r>
      <w:r w:rsidR="00D37EDB">
        <w:rPr>
          <w:b/>
        </w:rPr>
        <w:t>7</w:t>
      </w:r>
      <w:r w:rsidRPr="00582C7C">
        <w:rPr>
          <w:b/>
        </w:rPr>
        <w:t xml:space="preserve">: </w:t>
      </w:r>
      <w:r>
        <w:rPr>
          <w:b/>
        </w:rPr>
        <w:t xml:space="preserve">The directional PSS, SSS and PBCH signals are TDMed within a nominal sync symbol, and are transmitted using the same beam. </w:t>
      </w:r>
    </w:p>
    <w:p w14:paraId="56AC339F" w14:textId="77777777" w:rsidR="00A87396" w:rsidRDefault="00A87396" w:rsidP="00FD0272">
      <w:pPr>
        <w:jc w:val="left"/>
      </w:pPr>
    </w:p>
    <w:p w14:paraId="27454430" w14:textId="77777777" w:rsidR="00AD720E" w:rsidRDefault="00CE39CA" w:rsidP="00CE39CA">
      <w:pPr>
        <w:pStyle w:val="Heading2"/>
      </w:pPr>
      <w:r>
        <w:t>Synchronization signal design</w:t>
      </w:r>
    </w:p>
    <w:p w14:paraId="2755AEB8" w14:textId="77777777" w:rsidR="003860A1" w:rsidRDefault="003860A1" w:rsidP="003860A1">
      <w:pPr>
        <w:jc w:val="left"/>
      </w:pPr>
      <w:r>
        <w:t>In what follows, we provide our proposal for the PSS and SSS signals.</w:t>
      </w:r>
    </w:p>
    <w:p w14:paraId="1D1C950C" w14:textId="77777777" w:rsidR="003860A1" w:rsidRDefault="003860A1" w:rsidP="003860A1">
      <w:pPr>
        <w:jc w:val="left"/>
      </w:pPr>
    </w:p>
    <w:p w14:paraId="6C8EBCC8" w14:textId="700944E6" w:rsidR="003860A1" w:rsidRDefault="003860A1" w:rsidP="003860A1">
      <w:pPr>
        <w:jc w:val="left"/>
      </w:pPr>
      <w:r>
        <w:t xml:space="preserve">We propose the PSS signal to be based on an L-length Zadoff-Chu sequence with 3 different root indices to carry the cell-id group (similar to LTE rel-8 PSS design). Since wider bandwidth is available in a mmwave system, we can send a longer PSS sequence to provide a better timing accuracy. We note that all the root indices of a ZC sequence with a prime length have a low cross-correlation of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L</m:t>
                </m:r>
              </m:e>
            </m:rad>
          </m:den>
        </m:f>
      </m:oMath>
      <w:r w:rsidR="00D37EDB">
        <w:t xml:space="preserve">. And </w:t>
      </w:r>
      <w:r>
        <w:t xml:space="preserve">the larger </w:t>
      </w:r>
      <w:r w:rsidR="00D37EDB">
        <w:t xml:space="preserve">the </w:t>
      </w:r>
      <w:r>
        <w:t xml:space="preserve">ZC length L, the more orthogonal different </w:t>
      </w:r>
      <w:r w:rsidR="00D37EDB">
        <w:t xml:space="preserve">root </w:t>
      </w:r>
      <w:r>
        <w:t>PSS sequences are. We hence propose to choose L=127 for the ZC length.</w:t>
      </w:r>
    </w:p>
    <w:p w14:paraId="3AED332D" w14:textId="77777777" w:rsidR="003860A1" w:rsidRDefault="003860A1" w:rsidP="003860A1">
      <w:pPr>
        <w:rPr>
          <w:b/>
        </w:rPr>
      </w:pPr>
    </w:p>
    <w:p w14:paraId="38D11C31" w14:textId="2EA50D43" w:rsidR="003860A1" w:rsidRPr="00A15CAF" w:rsidRDefault="003860A1" w:rsidP="003860A1">
      <w:pPr>
        <w:rPr>
          <w:sz w:val="24"/>
          <w:szCs w:val="24"/>
        </w:rPr>
      </w:pPr>
      <w:r>
        <w:rPr>
          <w:b/>
        </w:rPr>
        <w:t xml:space="preserve">Proposal </w:t>
      </w:r>
      <w:r w:rsidR="00C42FCF">
        <w:rPr>
          <w:b/>
        </w:rPr>
        <w:t>8</w:t>
      </w:r>
      <w:r w:rsidRPr="00582C7C">
        <w:rPr>
          <w:b/>
        </w:rPr>
        <w:t xml:space="preserve">: </w:t>
      </w:r>
      <w:r>
        <w:rPr>
          <w:b/>
        </w:rPr>
        <w:t xml:space="preserve">The design of the primary sync signal is based on a Zadoff-Chu sequence with a prime length L, and three different root indices. L is proposed to be 127, and exact choice of the root indices is FFS. </w:t>
      </w:r>
    </w:p>
    <w:p w14:paraId="49334B48" w14:textId="77777777" w:rsidR="003860A1" w:rsidRDefault="003860A1" w:rsidP="003860A1">
      <w:pPr>
        <w:jc w:val="left"/>
      </w:pPr>
    </w:p>
    <w:p w14:paraId="4FDBEDEF" w14:textId="77777777" w:rsidR="003860A1" w:rsidRDefault="003860A1" w:rsidP="003860A1">
      <w:pPr>
        <w:jc w:val="left"/>
      </w:pPr>
      <w:r>
        <w:t>In designing the SSS signal, we take into account the following two points:</w:t>
      </w:r>
    </w:p>
    <w:p w14:paraId="4343CF6D" w14:textId="77777777" w:rsidR="003860A1" w:rsidRDefault="003860A1" w:rsidP="003860A1">
      <w:pPr>
        <w:pStyle w:val="ListParagraph"/>
        <w:numPr>
          <w:ilvl w:val="0"/>
          <w:numId w:val="8"/>
        </w:numPr>
        <w:jc w:val="left"/>
      </w:pPr>
      <w:r>
        <w:t xml:space="preserve">Sharing similarities with the legacy LTE SSS design would be beneficial in terms of standardization and reusing the available algorithms and studies. </w:t>
      </w:r>
    </w:p>
    <w:p w14:paraId="1B796E21" w14:textId="77777777" w:rsidR="003860A1" w:rsidRDefault="003860A1" w:rsidP="003860A1">
      <w:pPr>
        <w:pStyle w:val="ListParagraph"/>
        <w:numPr>
          <w:ilvl w:val="0"/>
          <w:numId w:val="8"/>
        </w:numPr>
        <w:jc w:val="left"/>
      </w:pPr>
      <w:r>
        <w:t xml:space="preserve">SSS may be used as the reference for channel estimation of the PBCH symbols. </w:t>
      </w:r>
    </w:p>
    <w:p w14:paraId="1C82A030" w14:textId="77777777" w:rsidR="003860A1" w:rsidRDefault="003860A1" w:rsidP="003860A1">
      <w:pPr>
        <w:jc w:val="left"/>
      </w:pPr>
    </w:p>
    <w:p w14:paraId="5A480DC1" w14:textId="2951AEE7" w:rsidR="003860A1" w:rsidRDefault="003860A1" w:rsidP="003860A1">
      <w:pPr>
        <w:jc w:val="left"/>
      </w:pPr>
      <w:r>
        <w:t>Considering the first point, an m-sequence based SSS signal</w:t>
      </w:r>
      <w:r w:rsidR="00D37EDB">
        <w:t xml:space="preserve"> is preferred</w:t>
      </w:r>
      <w:r>
        <w:t xml:space="preserve">. With respect to the second point, SSS tx bandwidth </w:t>
      </w:r>
      <w:r w:rsidR="00D37EDB">
        <w:t>should</w:t>
      </w:r>
      <w:r>
        <w:t xml:space="preserve"> be the same as the PBCH tx bandwidth. Also SSS must be transmitted from the same antenna ports as PBCH. The details of PBCH design are provided in the next section, and it will be discussed that PBCH transmission may support two-</w:t>
      </w:r>
      <w:r w:rsidR="00BE16E5">
        <w:t xml:space="preserve">port </w:t>
      </w:r>
      <w:r>
        <w:t xml:space="preserve">transmission diversity. In this case, the SSS transmission should be able to provide channel estimation for the two </w:t>
      </w:r>
      <w:r w:rsidR="00BE16E5">
        <w:t>ports</w:t>
      </w:r>
      <w:r>
        <w:t xml:space="preserve">. </w:t>
      </w:r>
    </w:p>
    <w:p w14:paraId="1944876C" w14:textId="77777777" w:rsidR="003860A1" w:rsidRDefault="003860A1" w:rsidP="003860A1">
      <w:pPr>
        <w:jc w:val="left"/>
      </w:pPr>
    </w:p>
    <w:p w14:paraId="750BF9B2" w14:textId="0238F663" w:rsidR="003860A1" w:rsidRDefault="003860A1" w:rsidP="003860A1">
      <w:pPr>
        <w:jc w:val="left"/>
      </w:pPr>
      <w:r>
        <w:t xml:space="preserve">Our proposed SSS signal is based on the 62-length </w:t>
      </w:r>
      <w:r w:rsidR="00BE16E5">
        <w:t xml:space="preserve">LTE-SSS sequence </w:t>
      </w:r>
      <w:r>
        <w:t xml:space="preserve">that is repeated in the frequency domain. Let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 ….,d(61)</m:t>
        </m:r>
      </m:oMath>
      <w:r>
        <w:t xml:space="preserve"> denote the </w:t>
      </w:r>
      <w:r w:rsidR="00BE16E5">
        <w:t>LTE-SSS sequence</w:t>
      </w:r>
      <w:r>
        <w:t xml:space="preserve">, the proposed SSS </w:t>
      </w:r>
      <w:r w:rsidR="00BE16E5">
        <w:t>sequence</w:t>
      </w:r>
      <w:r>
        <w:t xml:space="preserve">, with 124 samples, is created by repeating the </w:t>
      </w:r>
      <w:r w:rsidR="00BE16E5">
        <w:t xml:space="preserve">LTE </w:t>
      </w:r>
      <w:r>
        <w:t>sequence as follows,</w:t>
      </w:r>
    </w:p>
    <w:p w14:paraId="67771C18" w14:textId="77777777" w:rsidR="003860A1" w:rsidRPr="00586D51" w:rsidRDefault="003860A1" w:rsidP="003860A1">
      <w:pPr>
        <w:jc w:val="left"/>
      </w:pPr>
      <m:oMathPara>
        <m:oMath>
          <m:r>
            <w:rPr>
              <w:rFonts w:ascii="Cambria Math" w:hAnsi="Cambria Math"/>
            </w:rPr>
            <m:t>s</m:t>
          </m:r>
          <m:d>
            <m:dPr>
              <m:ctrlPr>
                <w:rPr>
                  <w:rFonts w:ascii="Cambria Math" w:hAnsi="Cambria Math"/>
                  <w:i/>
                </w:rPr>
              </m:ctrlPr>
            </m:dPr>
            <m:e>
              <m:r>
                <w:rPr>
                  <w:rFonts w:ascii="Cambria Math" w:hAnsi="Cambria Math"/>
                </w:rPr>
                <m:t>2i</m:t>
              </m:r>
            </m:e>
          </m:d>
          <m:r>
            <w:rPr>
              <w:rFonts w:ascii="Cambria Math" w:hAnsi="Cambria Math"/>
            </w:rPr>
            <m:t>=s</m:t>
          </m:r>
          <m:d>
            <m:dPr>
              <m:ctrlPr>
                <w:rPr>
                  <w:rFonts w:ascii="Cambria Math" w:hAnsi="Cambria Math"/>
                  <w:i/>
                </w:rPr>
              </m:ctrlPr>
            </m:dPr>
            <m:e>
              <m:r>
                <w:rPr>
                  <w:rFonts w:ascii="Cambria Math" w:hAnsi="Cambria Math"/>
                </w:rPr>
                <m:t>2i+1</m:t>
              </m:r>
            </m:e>
          </m:d>
          <m:r>
            <w:rPr>
              <w:rFonts w:ascii="Cambria Math" w:hAnsi="Cambria Math"/>
            </w:rPr>
            <m:t>=d</m:t>
          </m:r>
          <m:d>
            <m:dPr>
              <m:ctrlPr>
                <w:rPr>
                  <w:rFonts w:ascii="Cambria Math" w:hAnsi="Cambria Math"/>
                  <w:i/>
                </w:rPr>
              </m:ctrlPr>
            </m:dPr>
            <m:e>
              <m:r>
                <w:rPr>
                  <w:rFonts w:ascii="Cambria Math" w:hAnsi="Cambria Math"/>
                </w:rPr>
                <m:t>i</m:t>
              </m:r>
            </m:e>
          </m:d>
          <m:r>
            <w:rPr>
              <w:rFonts w:ascii="Cambria Math" w:hAnsi="Cambria Math"/>
            </w:rPr>
            <m:t xml:space="preserve">    for i=0,…,61.</m:t>
          </m:r>
        </m:oMath>
      </m:oMathPara>
    </w:p>
    <w:p w14:paraId="5F7DBD6D" w14:textId="1E3C232C" w:rsidR="003860A1" w:rsidRDefault="003860A1" w:rsidP="003860A1">
      <w:pPr>
        <w:jc w:val="left"/>
      </w:pPr>
      <w:r>
        <w:t xml:space="preserve">To support 2-layer PBCH transmission while using SSS as a pilot for PBCH channel estimation, the SSS signal transmitted from different antenna ports </w:t>
      </w:r>
      <w:r w:rsidR="00C42FCF">
        <w:t>is</w:t>
      </w:r>
      <w:r>
        <w:t xml:space="preserve"> first precoded. </w:t>
      </w:r>
      <w:r w:rsidR="00C42FCF">
        <w:t>This</w:t>
      </w:r>
      <w:r>
        <w:t xml:space="preserve"> is </w:t>
      </w:r>
      <w:r w:rsidR="00C42FCF">
        <w:t xml:space="preserve">illustrated </w:t>
      </w:r>
      <w:r>
        <w:t xml:space="preserve">in Figure 4 where the half of the antenna ports (with even index) are transmitting </w:t>
      </w:r>
      <m:oMath>
        <m:sSub>
          <m:sSubPr>
            <m:ctrlPr>
              <w:rPr>
                <w:rFonts w:ascii="Cambria Math" w:hAnsi="Cambria Math"/>
                <w:i/>
              </w:rPr>
            </m:ctrlPr>
          </m:sSubPr>
          <m:e>
            <m:r>
              <w:rPr>
                <w:rFonts w:ascii="Cambria Math" w:hAnsi="Cambria Math"/>
              </w:rPr>
              <m:t>s</m:t>
            </m:r>
          </m:e>
          <m:sub>
            <m:r>
              <w:rPr>
                <w:rFonts w:ascii="Cambria Math" w:hAnsi="Cambria Math"/>
              </w:rPr>
              <m:t>e</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e</m:t>
            </m:r>
          </m:sub>
        </m:sSub>
        <m:r>
          <w:rPr>
            <w:rFonts w:ascii="Cambria Math" w:hAnsi="Cambria Math"/>
          </w:rPr>
          <m:t>(123)</m:t>
        </m:r>
      </m:oMath>
      <w:r>
        <w:t xml:space="preserve">, while the rest of antenna ports (with odd tones) are transmitting </w:t>
      </w:r>
      <m:oMath>
        <m:sSub>
          <m:sSubPr>
            <m:ctrlPr>
              <w:rPr>
                <w:rFonts w:ascii="Cambria Math" w:hAnsi="Cambria Math"/>
                <w:i/>
              </w:rPr>
            </m:ctrlPr>
          </m:sSubPr>
          <m:e>
            <m:r>
              <w:rPr>
                <w:rFonts w:ascii="Cambria Math" w:hAnsi="Cambria Math"/>
              </w:rPr>
              <m:t>s</m:t>
            </m:r>
          </m:e>
          <m:sub>
            <m:r>
              <w:rPr>
                <w:rFonts w:ascii="Cambria Math" w:hAnsi="Cambria Math"/>
              </w:rPr>
              <m:t>o</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o</m:t>
            </m:r>
          </m:sub>
        </m:sSub>
        <m:r>
          <w:rPr>
            <w:rFonts w:ascii="Cambria Math" w:hAnsi="Cambria Math"/>
          </w:rPr>
          <m:t>(123)</m:t>
        </m:r>
      </m:oMath>
      <w:r>
        <w:t>, where</w:t>
      </w:r>
    </w:p>
    <w:p w14:paraId="75D8F056" w14:textId="77777777" w:rsidR="003860A1" w:rsidRPr="00586D51" w:rsidRDefault="00924BB0" w:rsidP="003860A1">
      <w:pPr>
        <w:jc w:val="left"/>
      </w:pPr>
      <m:oMathPara>
        <m:oMath>
          <m:sSub>
            <m:sSubPr>
              <m:ctrlPr>
                <w:rPr>
                  <w:rFonts w:ascii="Cambria Math" w:hAnsi="Cambria Math"/>
                  <w:i/>
                </w:rPr>
              </m:ctrlPr>
            </m:sSubPr>
            <m:e>
              <m:r>
                <w:rPr>
                  <w:rFonts w:ascii="Cambria Math" w:hAnsi="Cambria Math"/>
                </w:rPr>
                <m:t>s</m:t>
              </m:r>
            </m:e>
            <m:sub>
              <m:r>
                <w:rPr>
                  <w:rFonts w:ascii="Cambria Math" w:hAnsi="Cambria Math"/>
                </w:rPr>
                <m:t>e</m:t>
              </m:r>
            </m:sub>
          </m:sSub>
          <m:d>
            <m:dPr>
              <m:ctrlPr>
                <w:rPr>
                  <w:rFonts w:ascii="Cambria Math" w:hAnsi="Cambria Math"/>
                  <w:i/>
                </w:rPr>
              </m:ctrlPr>
            </m:dPr>
            <m:e>
              <m:r>
                <w:rPr>
                  <w:rFonts w:ascii="Cambria Math" w:hAnsi="Cambria Math"/>
                </w:rPr>
                <m:t>i</m:t>
              </m:r>
            </m:e>
          </m:d>
          <m:r>
            <w:rPr>
              <w:rFonts w:ascii="Cambria Math" w:hAnsi="Cambria Math"/>
            </w:rPr>
            <m:t>=s</m:t>
          </m:r>
          <m:d>
            <m:dPr>
              <m:ctrlPr>
                <w:rPr>
                  <w:rFonts w:ascii="Cambria Math" w:hAnsi="Cambria Math"/>
                  <w:i/>
                </w:rPr>
              </m:ctrlPr>
            </m:dPr>
            <m:e>
              <m:r>
                <w:rPr>
                  <w:rFonts w:ascii="Cambria Math" w:hAnsi="Cambria Math"/>
                </w:rPr>
                <m:t>i</m:t>
              </m:r>
            </m:e>
          </m:d>
        </m:oMath>
      </m:oMathPara>
    </w:p>
    <w:p w14:paraId="1E89091B" w14:textId="77777777" w:rsidR="003860A1" w:rsidRDefault="00924BB0" w:rsidP="003860A1">
      <w:pPr>
        <w:jc w:val="left"/>
      </w:pPr>
      <m:oMathPara>
        <m:oMath>
          <m:sSub>
            <m:sSubPr>
              <m:ctrlPr>
                <w:rPr>
                  <w:rFonts w:ascii="Cambria Math" w:hAnsi="Cambria Math"/>
                  <w:i/>
                </w:rPr>
              </m:ctrlPr>
            </m:sSubPr>
            <m:e>
              <m:r>
                <w:rPr>
                  <w:rFonts w:ascii="Cambria Math" w:hAnsi="Cambria Math"/>
                </w:rPr>
                <m:t>s</m:t>
              </m:r>
            </m:e>
            <m:sub>
              <m:r>
                <w:rPr>
                  <w:rFonts w:ascii="Cambria Math" w:hAnsi="Cambria Math"/>
                </w:rPr>
                <m:t>o</m:t>
              </m:r>
            </m:sub>
          </m:sSub>
          <m:d>
            <m:dPr>
              <m:ctrlPr>
                <w:rPr>
                  <w:rFonts w:ascii="Cambria Math" w:hAnsi="Cambria Math"/>
                  <w:i/>
                </w:rPr>
              </m:ctrlPr>
            </m:dPr>
            <m:e>
              <m:r>
                <w:rPr>
                  <w:rFonts w:ascii="Cambria Math" w:hAnsi="Cambria Math"/>
                </w:rPr>
                <m:t>i</m:t>
              </m:r>
            </m:e>
          </m:d>
          <m:r>
            <w:rPr>
              <w:rFonts w:ascii="Cambria Math" w:hAnsi="Cambria Math"/>
            </w:rPr>
            <m:t>=s</m:t>
          </m:r>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i</m:t>
              </m:r>
            </m:sup>
          </m:sSup>
        </m:oMath>
      </m:oMathPara>
    </w:p>
    <w:p w14:paraId="0A2F2003" w14:textId="1FFAD283" w:rsidR="003860A1" w:rsidRDefault="003860A1" w:rsidP="003860A1">
      <w:pPr>
        <w:jc w:val="left"/>
      </w:pPr>
      <w:r>
        <w:t xml:space="preserve">The proposed transmission scheme </w:t>
      </w:r>
      <w:r w:rsidR="00C42FCF">
        <w:t>thus</w:t>
      </w:r>
      <w:r>
        <w:t xml:space="preserve"> provide</w:t>
      </w:r>
      <w:r w:rsidR="00C42FCF">
        <w:t>s</w:t>
      </w:r>
      <w:r>
        <w:t xml:space="preserve"> the channel estimation for the combined channel seen </w:t>
      </w:r>
      <w:r w:rsidR="00C42FCF">
        <w:t xml:space="preserve">from </w:t>
      </w:r>
      <w:r>
        <w:t xml:space="preserve">the first set of antenna ports (with even index) and the combined channel seen </w:t>
      </w:r>
      <w:r w:rsidR="00C42FCF">
        <w:t xml:space="preserve">from </w:t>
      </w:r>
      <w:r>
        <w:t>the second set of antenna ports (with odd index).</w:t>
      </w:r>
    </w:p>
    <w:p w14:paraId="4CEBC657" w14:textId="77777777" w:rsidR="003860A1" w:rsidRDefault="003860A1" w:rsidP="003860A1">
      <w:pPr>
        <w:rPr>
          <w:b/>
        </w:rPr>
      </w:pPr>
    </w:p>
    <w:p w14:paraId="0C24DABD" w14:textId="00AFFE44" w:rsidR="003860A1" w:rsidRDefault="003860A1" w:rsidP="003860A1">
      <w:pPr>
        <w:rPr>
          <w:b/>
        </w:rPr>
      </w:pPr>
      <w:r>
        <w:rPr>
          <w:b/>
        </w:rPr>
        <w:t xml:space="preserve">Proposal </w:t>
      </w:r>
      <w:r w:rsidR="00C42FCF">
        <w:rPr>
          <w:b/>
        </w:rPr>
        <w:t>9</w:t>
      </w:r>
      <w:r w:rsidRPr="00582C7C">
        <w:rPr>
          <w:b/>
        </w:rPr>
        <w:t xml:space="preserve">: </w:t>
      </w:r>
      <w:r>
        <w:rPr>
          <w:b/>
        </w:rPr>
        <w:t>The design of the secondary sync signal is based on a base m-sequence, repeated and interleaved in frequency domain. The transmission of SSS signal from different antenna ports may be pre-coded to provide channel estimation for 2-</w:t>
      </w:r>
      <w:r w:rsidR="00C42FCF">
        <w:rPr>
          <w:b/>
        </w:rPr>
        <w:t xml:space="preserve">port transmit diversity transmission of </w:t>
      </w:r>
      <w:r>
        <w:rPr>
          <w:b/>
        </w:rPr>
        <w:t>PBCH.</w:t>
      </w:r>
    </w:p>
    <w:p w14:paraId="7CE8440C" w14:textId="77777777" w:rsidR="00854956" w:rsidRDefault="003860A1" w:rsidP="0079681C">
      <w:pPr>
        <w:keepNext/>
        <w:jc w:val="center"/>
      </w:pPr>
      <w:r>
        <w:object w:dxaOrig="4673" w:dyaOrig="3665" w14:anchorId="1D6A80BA">
          <v:shape id="_x0000_i1028" type="#_x0000_t75" style="width:338.1pt;height:266.7pt" o:ole="">
            <v:imagedata r:id="rId14" o:title=""/>
          </v:shape>
          <o:OLEObject Type="Embed" ProgID="Visio.Drawing.11" ShapeID="_x0000_i1028" DrawAspect="Content" ObjectID="_1536776309" r:id="rId15"/>
        </w:object>
      </w:r>
    </w:p>
    <w:p w14:paraId="758773D2" w14:textId="77777777" w:rsidR="003860A1" w:rsidRPr="0079681C" w:rsidRDefault="00854956" w:rsidP="0079681C">
      <w:pPr>
        <w:pStyle w:val="Caption"/>
        <w:jc w:val="center"/>
        <w:rPr>
          <w:sz w:val="32"/>
          <w:szCs w:val="32"/>
        </w:rPr>
      </w:pPr>
      <w:r w:rsidRPr="0079681C">
        <w:rPr>
          <w:sz w:val="22"/>
          <w:szCs w:val="22"/>
        </w:rPr>
        <w:t xml:space="preserve">Figure </w:t>
      </w:r>
      <w:r w:rsidRPr="0079681C">
        <w:rPr>
          <w:sz w:val="22"/>
          <w:szCs w:val="22"/>
        </w:rPr>
        <w:fldChar w:fldCharType="begin"/>
      </w:r>
      <w:r w:rsidRPr="0079681C">
        <w:rPr>
          <w:sz w:val="22"/>
          <w:szCs w:val="22"/>
        </w:rPr>
        <w:instrText xml:space="preserve"> SEQ Figure \* ARABIC </w:instrText>
      </w:r>
      <w:r w:rsidRPr="0079681C">
        <w:rPr>
          <w:sz w:val="22"/>
          <w:szCs w:val="22"/>
        </w:rPr>
        <w:fldChar w:fldCharType="separate"/>
      </w:r>
      <w:r w:rsidRPr="0079681C">
        <w:rPr>
          <w:noProof/>
          <w:sz w:val="22"/>
          <w:szCs w:val="22"/>
        </w:rPr>
        <w:t>4</w:t>
      </w:r>
      <w:r w:rsidRPr="0079681C">
        <w:rPr>
          <w:sz w:val="22"/>
          <w:szCs w:val="22"/>
        </w:rPr>
        <w:fldChar w:fldCharType="end"/>
      </w:r>
      <w:r w:rsidRPr="0079681C">
        <w:rPr>
          <w:sz w:val="22"/>
          <w:szCs w:val="22"/>
        </w:rPr>
        <w:t xml:space="preserve"> -- proposed SSS signal design</w:t>
      </w:r>
    </w:p>
    <w:p w14:paraId="68733C0B" w14:textId="77777777" w:rsidR="00FD0272" w:rsidRDefault="00FD0272" w:rsidP="0036216D">
      <w:pPr>
        <w:jc w:val="center"/>
      </w:pPr>
    </w:p>
    <w:p w14:paraId="27D35C79" w14:textId="77777777" w:rsidR="00FD0272" w:rsidRDefault="00FD0272" w:rsidP="00FD0272">
      <w:pPr>
        <w:jc w:val="left"/>
      </w:pPr>
    </w:p>
    <w:p w14:paraId="728F45B3" w14:textId="77777777" w:rsidR="00FD0272" w:rsidRDefault="00A42D26" w:rsidP="00A42D26">
      <w:pPr>
        <w:pStyle w:val="Heading2"/>
      </w:pPr>
      <w:r>
        <w:t>PBCH design and considerations</w:t>
      </w:r>
    </w:p>
    <w:p w14:paraId="7D71E99F" w14:textId="21335853" w:rsidR="00C42FCF" w:rsidRDefault="00C42FCF" w:rsidP="00A91EF7">
      <w:r w:rsidRPr="008655F0">
        <w:rPr>
          <w:b/>
        </w:rPr>
        <w:t>Repeating structure in time:</w:t>
      </w:r>
      <w:r>
        <w:t xml:space="preserve"> </w:t>
      </w:r>
      <w:r w:rsidRPr="008655F0">
        <w:t>As</w:t>
      </w:r>
      <w:r>
        <w:t xml:space="preserve"> shown in </w:t>
      </w:r>
      <w:r w:rsidR="00A91EF7">
        <w:t>Figure 3</w:t>
      </w:r>
      <w:r>
        <w:t xml:space="preserve"> TDM variant, we propose two PBCH OFDM symbols sandwiching other sync signals such as PSS/SSS.  Moreover, the two PBCH transmission are kept identical (i.e., same redundancy versions).  This is for the following reason:  </w:t>
      </w:r>
    </w:p>
    <w:p w14:paraId="161C73DF" w14:textId="2F52F38F" w:rsidR="00C42FCF" w:rsidRDefault="001A74A8" w:rsidP="001A74A8">
      <w:r>
        <w:t xml:space="preserve">As discussed previously in the TDM design, </w:t>
      </w:r>
      <w:r w:rsidR="00C42FCF">
        <w:t>all sync OFDM symbols use 4x wider subcarrier spacing</w:t>
      </w:r>
      <w:r w:rsidR="00A457AC">
        <w:t xml:space="preserve"> compared to the F</w:t>
      </w:r>
      <w:r>
        <w:t>DM design</w:t>
      </w:r>
      <w:r w:rsidR="00C42FCF">
        <w:t>.  This wider spacing endows sync channels some insensitivity against CFO, thus requiring fewer CFO hypothesis to be evaluated. Conversely, CFO cannot be as finely estimated from the signals at wider subcarrier spacing. But the proposed ‘sandwiching and repeating’ structure of PBCH then permits finer CFO estimation.</w:t>
      </w:r>
    </w:p>
    <w:p w14:paraId="5C95F645" w14:textId="75F8DF8E" w:rsidR="00C42FCF" w:rsidRDefault="00C42FCF" w:rsidP="003F0324">
      <w:r>
        <w:rPr>
          <w:b/>
        </w:rPr>
        <w:t>Transmission diversity</w:t>
      </w:r>
      <w:r w:rsidRPr="00594C80">
        <w:rPr>
          <w:b/>
        </w:rPr>
        <w:t>:</w:t>
      </w:r>
      <w:r>
        <w:t xml:space="preserve"> For good link budget and/or acquisition time, the design should support transmit diversity for PBCH. As discussed in section </w:t>
      </w:r>
      <w:r>
        <w:fldChar w:fldCharType="begin"/>
      </w:r>
      <w:r>
        <w:instrText xml:space="preserve"> REF _Ref462996566 \r \h </w:instrText>
      </w:r>
      <w:r>
        <w:fldChar w:fldCharType="separate"/>
      </w:r>
      <w:r>
        <w:t>2.6</w:t>
      </w:r>
      <w:r>
        <w:fldChar w:fldCharType="end"/>
      </w:r>
      <w:r>
        <w:t>, SSS can be repurposed to provide phase reference for upto 2 ports, therefore SFBC with two ports can be supported without addition</w:t>
      </w:r>
      <w:r w:rsidR="003F0324">
        <w:t>al</w:t>
      </w:r>
      <w:r>
        <w:t xml:space="preserve"> DMRS overhead.  For more than 2-port diversity, the resource overhead of DMRS has to be evaluated to determine if further improvement </w:t>
      </w:r>
      <w:r w:rsidR="003F0324">
        <w:t>in</w:t>
      </w:r>
      <w:r>
        <w:t xml:space="preserve"> link budget is achievable. </w:t>
      </w:r>
    </w:p>
    <w:p w14:paraId="0015A11E" w14:textId="77777777" w:rsidR="00C42FCF" w:rsidRDefault="00C42FCF" w:rsidP="00C42FCF">
      <w:pPr>
        <w:rPr>
          <w:b/>
        </w:rPr>
      </w:pPr>
      <w:r>
        <w:rPr>
          <w:b/>
        </w:rPr>
        <w:t>Proposal 10</w:t>
      </w:r>
      <w:r w:rsidRPr="00582C7C">
        <w:rPr>
          <w:b/>
        </w:rPr>
        <w:t xml:space="preserve">: </w:t>
      </w:r>
      <w:r>
        <w:rPr>
          <w:b/>
        </w:rPr>
        <w:t>The design should support PBCH transmit diversity with upto P ports. P=2 is supported. Whether P&gt;2 is FFS.</w:t>
      </w:r>
    </w:p>
    <w:p w14:paraId="58D2AC87" w14:textId="77777777" w:rsidR="00C42FCF" w:rsidRPr="00A15CAF" w:rsidRDefault="00C42FCF" w:rsidP="00C42FCF">
      <w:pPr>
        <w:rPr>
          <w:sz w:val="24"/>
          <w:szCs w:val="24"/>
        </w:rPr>
      </w:pPr>
    </w:p>
    <w:p w14:paraId="25318C77" w14:textId="77777777" w:rsidR="00C42FCF" w:rsidRPr="008655F0" w:rsidRDefault="00C42FCF" w:rsidP="00C42FCF">
      <w:r w:rsidRPr="008655F0">
        <w:rPr>
          <w:b/>
        </w:rPr>
        <w:t>Soft combining of PBCH</w:t>
      </w:r>
      <w:r>
        <w:rPr>
          <w:b/>
        </w:rPr>
        <w:t xml:space="preserve"> within a burst</w:t>
      </w:r>
      <w:r w:rsidRPr="008655F0">
        <w:rPr>
          <w:b/>
        </w:rPr>
        <w:t>:</w:t>
      </w:r>
      <w:r>
        <w:t xml:space="preserve"> As discussed above, PBCH (alongside other sync signals) is transmitted in a burst containing multiple transmission in possibly different beamformed directions. Then depending on the beam pattern and UE location, the UE can detect multiple transmissions in a burst but each one too faint to decode PBCH on its own.  Therefore, it will be preferable if the design permits the UE to combine PBCH from multiple transmissions within a burst.  Such a design would also permit BS to have more flexibility in choosing the beam sweeping pattern. E.g., at one extreme, the BS may choose the same pseudo-omni beams for many/all of the nominal sync symbols; or BS may choose only a coarse set of beams where the UE residing in between the two beams benefits from combining PBCH.</w:t>
      </w:r>
    </w:p>
    <w:p w14:paraId="78E6750A" w14:textId="77777777" w:rsidR="00C42FCF" w:rsidRPr="00A15CAF" w:rsidRDefault="00C42FCF" w:rsidP="00C42FCF">
      <w:pPr>
        <w:rPr>
          <w:sz w:val="24"/>
          <w:szCs w:val="24"/>
        </w:rPr>
      </w:pPr>
      <w:r>
        <w:rPr>
          <w:b/>
        </w:rPr>
        <w:t>Proposal 11</w:t>
      </w:r>
      <w:r w:rsidRPr="00582C7C">
        <w:rPr>
          <w:b/>
        </w:rPr>
        <w:t xml:space="preserve">: </w:t>
      </w:r>
      <w:r>
        <w:rPr>
          <w:b/>
        </w:rPr>
        <w:t>The design should permit combining of PBCH from multiple transmissions within a burst.</w:t>
      </w:r>
    </w:p>
    <w:p w14:paraId="3C24E93C" w14:textId="67A551D4" w:rsidR="00A42D26" w:rsidRPr="00A42D26" w:rsidRDefault="00C42FCF" w:rsidP="00C42FCF">
      <w:pPr>
        <w:rPr>
          <w:color w:val="FF0000"/>
        </w:rPr>
      </w:pPr>
      <w:r>
        <w:rPr>
          <w:sz w:val="24"/>
          <w:szCs w:val="24"/>
        </w:rPr>
        <w:t xml:space="preserve">In addition to combining within a burst, the UE would also be able to combine PBCH transmitted at beam sweep periodicity, Z, discussed in section </w:t>
      </w:r>
      <w:r>
        <w:rPr>
          <w:sz w:val="24"/>
          <w:szCs w:val="24"/>
        </w:rPr>
        <w:fldChar w:fldCharType="begin"/>
      </w:r>
      <w:r>
        <w:rPr>
          <w:sz w:val="24"/>
          <w:szCs w:val="24"/>
        </w:rPr>
        <w:instrText xml:space="preserve"> REF _Ref462998902 \r \h </w:instrText>
      </w:r>
      <w:r>
        <w:rPr>
          <w:sz w:val="24"/>
          <w:szCs w:val="24"/>
        </w:rPr>
      </w:r>
      <w:r>
        <w:rPr>
          <w:sz w:val="24"/>
          <w:szCs w:val="24"/>
        </w:rPr>
        <w:fldChar w:fldCharType="separate"/>
      </w:r>
      <w:r>
        <w:rPr>
          <w:sz w:val="24"/>
          <w:szCs w:val="24"/>
        </w:rPr>
        <w:t>2.3</w:t>
      </w:r>
      <w:r>
        <w:rPr>
          <w:sz w:val="24"/>
          <w:szCs w:val="24"/>
        </w:rPr>
        <w:fldChar w:fldCharType="end"/>
      </w:r>
      <w:r>
        <w:rPr>
          <w:sz w:val="24"/>
          <w:szCs w:val="24"/>
        </w:rPr>
        <w:t>, assuming PBCH payload doesn’t change for at least 2Z period.</w:t>
      </w:r>
      <w:r w:rsidRPr="00A42D26" w:rsidDel="00C42FCF">
        <w:rPr>
          <w:color w:val="FF0000"/>
        </w:rPr>
        <w:t xml:space="preserve"> </w:t>
      </w:r>
    </w:p>
    <w:p w14:paraId="6F146C26" w14:textId="77777777" w:rsidR="00DA7CCB" w:rsidRDefault="00DA7CCB" w:rsidP="00DA7CCB">
      <w:pPr>
        <w:rPr>
          <w:sz w:val="24"/>
          <w:szCs w:val="24"/>
        </w:rPr>
      </w:pPr>
    </w:p>
    <w:p w14:paraId="7D85E756" w14:textId="77777777" w:rsidR="00DA7CCB" w:rsidRDefault="00DA7CCB" w:rsidP="00DA7CCB">
      <w:pPr>
        <w:rPr>
          <w:b/>
        </w:rPr>
      </w:pPr>
    </w:p>
    <w:p w14:paraId="1508C010" w14:textId="77777777" w:rsidR="00DA7CCB" w:rsidRDefault="00DA7CCB" w:rsidP="00DA7CCB">
      <w:pPr>
        <w:pStyle w:val="Heading1"/>
        <w:keepNext w:val="0"/>
        <w:widowControl w:val="0"/>
        <w:tabs>
          <w:tab w:val="num" w:pos="432"/>
        </w:tabs>
        <w:autoSpaceDE/>
        <w:autoSpaceDN/>
        <w:adjustRightInd/>
        <w:snapToGrid/>
        <w:spacing w:before="240" w:after="60"/>
        <w:jc w:val="left"/>
      </w:pPr>
      <w:r w:rsidRPr="002A0893">
        <w:t>Conclusions</w:t>
      </w:r>
    </w:p>
    <w:p w14:paraId="0BBCD5FF" w14:textId="77777777" w:rsidR="004B795C" w:rsidRPr="0079681C" w:rsidRDefault="004B795C" w:rsidP="0079681C">
      <w:r>
        <w:t>In this contribution, we discussed different aspects of the synchronization in a mmwave system and proposed the following,</w:t>
      </w:r>
    </w:p>
    <w:p w14:paraId="666A433E" w14:textId="77777777" w:rsidR="00DA7CCB" w:rsidRPr="00B3137C" w:rsidRDefault="00DA7CCB" w:rsidP="00DA7CCB">
      <w:pPr>
        <w:rPr>
          <w:b/>
        </w:rPr>
      </w:pPr>
    </w:p>
    <w:p w14:paraId="15A296CA" w14:textId="77777777" w:rsidR="004B795C" w:rsidRDefault="004B795C" w:rsidP="004B795C">
      <w:pPr>
        <w:rPr>
          <w:sz w:val="24"/>
          <w:szCs w:val="24"/>
        </w:rPr>
      </w:pPr>
      <w:r w:rsidRPr="00582C7C">
        <w:rPr>
          <w:b/>
        </w:rPr>
        <w:t xml:space="preserve">Proposal 1: The </w:t>
      </w:r>
      <w:r>
        <w:rPr>
          <w:b/>
        </w:rPr>
        <w:t>design should allow base stations to sweep beams during synchronization and random access period.</w:t>
      </w:r>
    </w:p>
    <w:p w14:paraId="197F8120" w14:textId="77777777" w:rsidR="004B795C" w:rsidRPr="00A15CAF" w:rsidRDefault="004B795C" w:rsidP="004B795C">
      <w:pPr>
        <w:rPr>
          <w:sz w:val="24"/>
          <w:szCs w:val="24"/>
        </w:rPr>
      </w:pPr>
      <w:r>
        <w:rPr>
          <w:b/>
        </w:rPr>
        <w:t>Proposal 2</w:t>
      </w:r>
      <w:r w:rsidRPr="00582C7C">
        <w:rPr>
          <w:b/>
        </w:rPr>
        <w:t xml:space="preserve">: </w:t>
      </w:r>
      <w:r>
        <w:rPr>
          <w:b/>
        </w:rPr>
        <w:t>The transmission of sync signals is limited to the minimum supportable bandwidth. The value of the minimum supportable bandwidth is FFS (example: 40MHz).</w:t>
      </w:r>
    </w:p>
    <w:p w14:paraId="4B8975E0" w14:textId="77777777" w:rsidR="004B795C" w:rsidRDefault="004B795C" w:rsidP="004B795C">
      <w:pPr>
        <w:rPr>
          <w:b/>
        </w:rPr>
      </w:pPr>
      <w:r>
        <w:rPr>
          <w:b/>
        </w:rPr>
        <w:t>Proposal 3</w:t>
      </w:r>
      <w:r w:rsidRPr="00582C7C">
        <w:rPr>
          <w:b/>
        </w:rPr>
        <w:t xml:space="preserve">: </w:t>
      </w:r>
      <w:r>
        <w:rPr>
          <w:b/>
        </w:rPr>
        <w:t xml:space="preserve">No data/control channel is frequency-multiplexed with the sync transmission. </w:t>
      </w:r>
    </w:p>
    <w:p w14:paraId="737BF6A0" w14:textId="77777777" w:rsidR="004B795C" w:rsidRDefault="004B795C" w:rsidP="004B795C">
      <w:pPr>
        <w:rPr>
          <w:b/>
        </w:rPr>
      </w:pPr>
      <w:r>
        <w:rPr>
          <w:b/>
        </w:rPr>
        <w:t>Proposal 4</w:t>
      </w:r>
      <w:r w:rsidRPr="00582C7C">
        <w:rPr>
          <w:b/>
        </w:rPr>
        <w:t xml:space="preserve">: </w:t>
      </w:r>
      <w:r>
        <w:rPr>
          <w:b/>
        </w:rPr>
        <w:t>Every X msec, Y msec worth of resources are allocated for the transmission of a synchronization burst. Each synchronization burst consists of N nominal sync signals. The exact values of X, Y and N are FFS (example: X=5, Y=0.25, N=14).</w:t>
      </w:r>
    </w:p>
    <w:p w14:paraId="75B159AC" w14:textId="77777777" w:rsidR="004B795C" w:rsidRDefault="004B795C" w:rsidP="004B795C">
      <w:pPr>
        <w:rPr>
          <w:b/>
        </w:rPr>
      </w:pPr>
      <w:r>
        <w:rPr>
          <w:b/>
        </w:rPr>
        <w:t>Proposal 5</w:t>
      </w:r>
      <w:r w:rsidRPr="00582C7C">
        <w:rPr>
          <w:b/>
        </w:rPr>
        <w:t xml:space="preserve">: </w:t>
      </w:r>
      <w:r>
        <w:rPr>
          <w:b/>
        </w:rPr>
        <w:t>The max sync (beam sweep) periodicity Z is known by the UEs. The exact value of Z is FFS (example: sync periodicity = sync resource periodicity: Z=X=5 [msec]).</w:t>
      </w:r>
    </w:p>
    <w:p w14:paraId="2FCA1DF0" w14:textId="77777777" w:rsidR="00C42FCF" w:rsidRPr="003F0324" w:rsidRDefault="00C42FCF" w:rsidP="004B795C">
      <w:pPr>
        <w:rPr>
          <w:sz w:val="24"/>
          <w:szCs w:val="24"/>
        </w:rPr>
      </w:pPr>
      <w:r>
        <w:rPr>
          <w:b/>
        </w:rPr>
        <w:t>Proposal 6</w:t>
      </w:r>
      <w:r w:rsidRPr="00582C7C">
        <w:rPr>
          <w:b/>
        </w:rPr>
        <w:t xml:space="preserve">: </w:t>
      </w:r>
      <w:r>
        <w:rPr>
          <w:b/>
        </w:rPr>
        <w:t>BS needs to convey alongside the sync signals the OFDM symbol index (or another suitable notion of transmission time) of the transmission.</w:t>
      </w:r>
    </w:p>
    <w:p w14:paraId="77EB3CCD" w14:textId="4C412CF9" w:rsidR="004B795C" w:rsidRDefault="004B795C" w:rsidP="004B795C">
      <w:pPr>
        <w:rPr>
          <w:b/>
        </w:rPr>
      </w:pPr>
      <w:r>
        <w:rPr>
          <w:b/>
        </w:rPr>
        <w:t xml:space="preserve">Proposal </w:t>
      </w:r>
      <w:r w:rsidR="00C42FCF">
        <w:rPr>
          <w:b/>
        </w:rPr>
        <w:t>7</w:t>
      </w:r>
      <w:r w:rsidRPr="00582C7C">
        <w:rPr>
          <w:b/>
        </w:rPr>
        <w:t xml:space="preserve">: </w:t>
      </w:r>
      <w:r>
        <w:rPr>
          <w:b/>
        </w:rPr>
        <w:t xml:space="preserve">The directional PSS, SSS and PBCH signals are TDMed within a nominal sync symbol, and are transmitted using the same beam. </w:t>
      </w:r>
    </w:p>
    <w:p w14:paraId="168882A8" w14:textId="7B672911" w:rsidR="004B795C" w:rsidRPr="00A15CAF" w:rsidRDefault="004B795C" w:rsidP="004B795C">
      <w:pPr>
        <w:rPr>
          <w:sz w:val="24"/>
          <w:szCs w:val="24"/>
        </w:rPr>
      </w:pPr>
      <w:r>
        <w:rPr>
          <w:b/>
        </w:rPr>
        <w:t xml:space="preserve">Proposal </w:t>
      </w:r>
      <w:r w:rsidR="00C42FCF">
        <w:rPr>
          <w:b/>
        </w:rPr>
        <w:t>8</w:t>
      </w:r>
      <w:r w:rsidRPr="00582C7C">
        <w:rPr>
          <w:b/>
        </w:rPr>
        <w:t xml:space="preserve">: </w:t>
      </w:r>
      <w:r>
        <w:rPr>
          <w:b/>
        </w:rPr>
        <w:t xml:space="preserve">The design of the primary sync signal is based on a Zadoff-Chu sequence with a prime length L, and three different root indices. L is proposed to be 127, and exact choice of the root indices is FFS. </w:t>
      </w:r>
    </w:p>
    <w:p w14:paraId="0E091604" w14:textId="3F9F5E7F" w:rsidR="004B795C" w:rsidRDefault="004B795C" w:rsidP="004B795C">
      <w:pPr>
        <w:rPr>
          <w:b/>
        </w:rPr>
      </w:pPr>
      <w:r>
        <w:rPr>
          <w:b/>
        </w:rPr>
        <w:t xml:space="preserve">Proposal </w:t>
      </w:r>
      <w:r w:rsidR="00C42FCF">
        <w:rPr>
          <w:b/>
        </w:rPr>
        <w:t>9</w:t>
      </w:r>
      <w:r w:rsidRPr="00582C7C">
        <w:rPr>
          <w:b/>
        </w:rPr>
        <w:t xml:space="preserve">: </w:t>
      </w:r>
      <w:r>
        <w:rPr>
          <w:b/>
        </w:rPr>
        <w:t>The design of the secondary sync signal is based on a base m-sequence, repeated and interleaved in frequency domain. The transmission of SSS signal from different antenna ports may be pre-coded to provide channel estimation for 2-layer PBCH decoding.</w:t>
      </w:r>
    </w:p>
    <w:p w14:paraId="0D9E46A9" w14:textId="77777777" w:rsidR="00C42FCF" w:rsidRPr="00A15CAF" w:rsidRDefault="00C42FCF" w:rsidP="00C42FCF">
      <w:pPr>
        <w:rPr>
          <w:sz w:val="24"/>
          <w:szCs w:val="24"/>
        </w:rPr>
      </w:pPr>
      <w:r>
        <w:rPr>
          <w:b/>
        </w:rPr>
        <w:t>Proposal 10</w:t>
      </w:r>
      <w:r w:rsidRPr="00582C7C">
        <w:rPr>
          <w:b/>
        </w:rPr>
        <w:t xml:space="preserve">: </w:t>
      </w:r>
      <w:r>
        <w:rPr>
          <w:b/>
        </w:rPr>
        <w:t>The design should support PBCH transmit diversity with upto P ports. P=2 is supported. Whether P&gt;2 is FFS.</w:t>
      </w:r>
    </w:p>
    <w:p w14:paraId="0C098582" w14:textId="77777777" w:rsidR="00C42FCF" w:rsidRPr="00A15CAF" w:rsidRDefault="00C42FCF" w:rsidP="00C42FCF">
      <w:pPr>
        <w:rPr>
          <w:sz w:val="24"/>
          <w:szCs w:val="24"/>
        </w:rPr>
      </w:pPr>
      <w:r>
        <w:rPr>
          <w:b/>
        </w:rPr>
        <w:t>Proposal 11</w:t>
      </w:r>
      <w:r w:rsidRPr="00582C7C">
        <w:rPr>
          <w:b/>
        </w:rPr>
        <w:t xml:space="preserve">: </w:t>
      </w:r>
      <w:r>
        <w:rPr>
          <w:b/>
        </w:rPr>
        <w:t>The design should permit combining of PBCH from multiple transmissions within a burst.</w:t>
      </w:r>
    </w:p>
    <w:p w14:paraId="645383F9" w14:textId="77777777" w:rsidR="004B795C" w:rsidRPr="00A15CAF" w:rsidRDefault="004B795C" w:rsidP="004B795C">
      <w:pPr>
        <w:rPr>
          <w:sz w:val="24"/>
          <w:szCs w:val="24"/>
        </w:rPr>
      </w:pPr>
    </w:p>
    <w:p w14:paraId="72FAC6B0" w14:textId="77777777" w:rsidR="00DA7CCB" w:rsidRPr="008056DA" w:rsidRDefault="00DA7CCB" w:rsidP="00DA7CCB">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19A548F9" w14:textId="77777777" w:rsidR="00DA7CCB" w:rsidRDefault="00DA7CCB" w:rsidP="00B6571B">
      <w:pPr>
        <w:rPr>
          <w:sz w:val="20"/>
          <w:szCs w:val="20"/>
          <w:lang w:eastAsia="ja-JP"/>
        </w:rPr>
      </w:pPr>
      <w:r>
        <w:rPr>
          <w:sz w:val="20"/>
          <w:szCs w:val="20"/>
          <w:lang w:eastAsia="ja-JP"/>
        </w:rPr>
        <w:t xml:space="preserve">[1] </w:t>
      </w:r>
      <w:r w:rsidR="00747231">
        <w:rPr>
          <w:sz w:val="20"/>
          <w:szCs w:val="20"/>
          <w:lang w:eastAsia="ja-JP"/>
        </w:rPr>
        <w:t>R1-168</w:t>
      </w:r>
      <w:r w:rsidR="00B6571B">
        <w:rPr>
          <w:sz w:val="20"/>
          <w:szCs w:val="20"/>
          <w:lang w:eastAsia="ja-JP"/>
        </w:rPr>
        <w:t>493</w:t>
      </w:r>
      <w:r w:rsidR="00747231">
        <w:rPr>
          <w:sz w:val="20"/>
          <w:szCs w:val="20"/>
          <w:lang w:eastAsia="ja-JP"/>
        </w:rPr>
        <w:t>, “WF on evaluation assumptions for initial access in NR”</w:t>
      </w:r>
    </w:p>
    <w:p w14:paraId="74ED35D2" w14:textId="77777777" w:rsidR="004B795C" w:rsidRDefault="004B795C" w:rsidP="00B6571B">
      <w:pPr>
        <w:rPr>
          <w:sz w:val="20"/>
          <w:szCs w:val="20"/>
          <w:lang w:eastAsia="ja-JP"/>
        </w:rPr>
      </w:pPr>
      <w:r>
        <w:rPr>
          <w:sz w:val="20"/>
          <w:szCs w:val="20"/>
          <w:lang w:eastAsia="ja-JP"/>
        </w:rPr>
        <w:t>[2] R1-1610161, “Multi-beam SYNC evaluation”, Qualcomm Inc.</w:t>
      </w:r>
    </w:p>
    <w:p w14:paraId="4B36B06D" w14:textId="1BBE3D5D" w:rsidR="004B795C" w:rsidRDefault="004B795C">
      <w:pPr>
        <w:rPr>
          <w:sz w:val="20"/>
          <w:szCs w:val="20"/>
          <w:lang w:eastAsia="ja-JP"/>
        </w:rPr>
      </w:pPr>
      <w:r>
        <w:rPr>
          <w:sz w:val="20"/>
          <w:szCs w:val="20"/>
          <w:lang w:eastAsia="ja-JP"/>
        </w:rPr>
        <w:t>[3] R1-</w:t>
      </w:r>
      <w:r w:rsidR="000434DE">
        <w:rPr>
          <w:sz w:val="20"/>
          <w:szCs w:val="20"/>
          <w:lang w:eastAsia="ja-JP"/>
        </w:rPr>
        <w:t>166384,</w:t>
      </w:r>
      <w:r>
        <w:rPr>
          <w:sz w:val="20"/>
          <w:szCs w:val="20"/>
          <w:lang w:eastAsia="ja-JP"/>
        </w:rPr>
        <w:t xml:space="preserve"> “Initial access in millimeter wave systems”, Qualcomm Inc.</w:t>
      </w:r>
    </w:p>
    <w:p w14:paraId="0C1B183F" w14:textId="77777777" w:rsidR="00DA7CCB" w:rsidRDefault="00DA7CCB" w:rsidP="00DA7CCB">
      <w:pPr>
        <w:rPr>
          <w:sz w:val="20"/>
          <w:szCs w:val="20"/>
          <w:lang w:eastAsia="ja-JP"/>
        </w:rPr>
      </w:pPr>
    </w:p>
    <w:p w14:paraId="2FF64553" w14:textId="77777777" w:rsidR="00423A31" w:rsidRDefault="00423A31"/>
    <w:sectPr w:rsidR="00423A31" w:rsidSect="00CB47E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2863A" w14:textId="77777777" w:rsidR="00924BB0" w:rsidRDefault="00924BB0" w:rsidP="00D37EDB">
      <w:pPr>
        <w:spacing w:after="0"/>
      </w:pPr>
      <w:r>
        <w:separator/>
      </w:r>
    </w:p>
  </w:endnote>
  <w:endnote w:type="continuationSeparator" w:id="0">
    <w:p w14:paraId="0ECB450F" w14:textId="77777777" w:rsidR="00924BB0" w:rsidRDefault="00924BB0" w:rsidP="00D37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8CE63" w14:textId="77777777" w:rsidR="00924BB0" w:rsidRDefault="00924BB0" w:rsidP="00D37EDB">
      <w:pPr>
        <w:spacing w:after="0"/>
      </w:pPr>
      <w:r>
        <w:separator/>
      </w:r>
    </w:p>
  </w:footnote>
  <w:footnote w:type="continuationSeparator" w:id="0">
    <w:p w14:paraId="3FF7AEA0" w14:textId="77777777" w:rsidR="00924BB0" w:rsidRDefault="00924BB0" w:rsidP="00D37E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7D0EEB"/>
    <w:multiLevelType w:val="hybridMultilevel"/>
    <w:tmpl w:val="79D0A55A"/>
    <w:lvl w:ilvl="0" w:tplc="97703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4AA201D"/>
    <w:multiLevelType w:val="hybridMultilevel"/>
    <w:tmpl w:val="385C7ABA"/>
    <w:lvl w:ilvl="0" w:tplc="F454F4A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E36C12"/>
    <w:multiLevelType w:val="hybridMultilevel"/>
    <w:tmpl w:val="69569048"/>
    <w:lvl w:ilvl="0" w:tplc="A6161874">
      <w:start w:val="1"/>
      <w:numFmt w:val="bullet"/>
      <w:lvlText w:val="o"/>
      <w:lvlJc w:val="left"/>
      <w:pPr>
        <w:tabs>
          <w:tab w:val="num" w:pos="720"/>
        </w:tabs>
        <w:ind w:left="720" w:hanging="360"/>
      </w:pPr>
      <w:rPr>
        <w:rFonts w:ascii="Courier New" w:hAnsi="Courier New" w:hint="default"/>
      </w:rPr>
    </w:lvl>
    <w:lvl w:ilvl="1" w:tplc="6936C998">
      <w:start w:val="49"/>
      <w:numFmt w:val="bullet"/>
      <w:lvlText w:val="o"/>
      <w:lvlJc w:val="left"/>
      <w:pPr>
        <w:tabs>
          <w:tab w:val="num" w:pos="1440"/>
        </w:tabs>
        <w:ind w:left="1440" w:hanging="360"/>
      </w:pPr>
      <w:rPr>
        <w:rFonts w:ascii="Courier New" w:hAnsi="Courier New" w:hint="default"/>
      </w:rPr>
    </w:lvl>
    <w:lvl w:ilvl="2" w:tplc="6266834C" w:tentative="1">
      <w:start w:val="1"/>
      <w:numFmt w:val="bullet"/>
      <w:lvlText w:val="o"/>
      <w:lvlJc w:val="left"/>
      <w:pPr>
        <w:tabs>
          <w:tab w:val="num" w:pos="2160"/>
        </w:tabs>
        <w:ind w:left="2160" w:hanging="360"/>
      </w:pPr>
      <w:rPr>
        <w:rFonts w:ascii="Courier New" w:hAnsi="Courier New" w:hint="default"/>
      </w:rPr>
    </w:lvl>
    <w:lvl w:ilvl="3" w:tplc="5BA67400" w:tentative="1">
      <w:start w:val="1"/>
      <w:numFmt w:val="bullet"/>
      <w:lvlText w:val="o"/>
      <w:lvlJc w:val="left"/>
      <w:pPr>
        <w:tabs>
          <w:tab w:val="num" w:pos="2880"/>
        </w:tabs>
        <w:ind w:left="2880" w:hanging="360"/>
      </w:pPr>
      <w:rPr>
        <w:rFonts w:ascii="Courier New" w:hAnsi="Courier New" w:hint="default"/>
      </w:rPr>
    </w:lvl>
    <w:lvl w:ilvl="4" w:tplc="B2482640" w:tentative="1">
      <w:start w:val="1"/>
      <w:numFmt w:val="bullet"/>
      <w:lvlText w:val="o"/>
      <w:lvlJc w:val="left"/>
      <w:pPr>
        <w:tabs>
          <w:tab w:val="num" w:pos="3600"/>
        </w:tabs>
        <w:ind w:left="3600" w:hanging="360"/>
      </w:pPr>
      <w:rPr>
        <w:rFonts w:ascii="Courier New" w:hAnsi="Courier New" w:hint="default"/>
      </w:rPr>
    </w:lvl>
    <w:lvl w:ilvl="5" w:tplc="CC660D4C" w:tentative="1">
      <w:start w:val="1"/>
      <w:numFmt w:val="bullet"/>
      <w:lvlText w:val="o"/>
      <w:lvlJc w:val="left"/>
      <w:pPr>
        <w:tabs>
          <w:tab w:val="num" w:pos="4320"/>
        </w:tabs>
        <w:ind w:left="4320" w:hanging="360"/>
      </w:pPr>
      <w:rPr>
        <w:rFonts w:ascii="Courier New" w:hAnsi="Courier New" w:hint="default"/>
      </w:rPr>
    </w:lvl>
    <w:lvl w:ilvl="6" w:tplc="5C0A50A4" w:tentative="1">
      <w:start w:val="1"/>
      <w:numFmt w:val="bullet"/>
      <w:lvlText w:val="o"/>
      <w:lvlJc w:val="left"/>
      <w:pPr>
        <w:tabs>
          <w:tab w:val="num" w:pos="5040"/>
        </w:tabs>
        <w:ind w:left="5040" w:hanging="360"/>
      </w:pPr>
      <w:rPr>
        <w:rFonts w:ascii="Courier New" w:hAnsi="Courier New" w:hint="default"/>
      </w:rPr>
    </w:lvl>
    <w:lvl w:ilvl="7" w:tplc="F4146A98" w:tentative="1">
      <w:start w:val="1"/>
      <w:numFmt w:val="bullet"/>
      <w:lvlText w:val="o"/>
      <w:lvlJc w:val="left"/>
      <w:pPr>
        <w:tabs>
          <w:tab w:val="num" w:pos="5760"/>
        </w:tabs>
        <w:ind w:left="5760" w:hanging="360"/>
      </w:pPr>
      <w:rPr>
        <w:rFonts w:ascii="Courier New" w:hAnsi="Courier New" w:hint="default"/>
      </w:rPr>
    </w:lvl>
    <w:lvl w:ilvl="8" w:tplc="AC04C4D0"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7066620"/>
    <w:multiLevelType w:val="hybridMultilevel"/>
    <w:tmpl w:val="32ECFF98"/>
    <w:lvl w:ilvl="0" w:tplc="C960E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7CDC5AEF"/>
    <w:multiLevelType w:val="hybridMultilevel"/>
    <w:tmpl w:val="9C283A1A"/>
    <w:lvl w:ilvl="0" w:tplc="7F7ACB56">
      <w:start w:val="1"/>
      <w:numFmt w:val="bullet"/>
      <w:lvlText w:val="•"/>
      <w:lvlJc w:val="left"/>
      <w:pPr>
        <w:tabs>
          <w:tab w:val="num" w:pos="720"/>
        </w:tabs>
        <w:ind w:left="720" w:hanging="360"/>
      </w:pPr>
      <w:rPr>
        <w:rFonts w:ascii="Arial" w:hAnsi="Arial" w:hint="default"/>
      </w:rPr>
    </w:lvl>
    <w:lvl w:ilvl="1" w:tplc="311C4A74" w:tentative="1">
      <w:start w:val="1"/>
      <w:numFmt w:val="bullet"/>
      <w:lvlText w:val="•"/>
      <w:lvlJc w:val="left"/>
      <w:pPr>
        <w:tabs>
          <w:tab w:val="num" w:pos="1440"/>
        </w:tabs>
        <w:ind w:left="1440" w:hanging="360"/>
      </w:pPr>
      <w:rPr>
        <w:rFonts w:ascii="Arial" w:hAnsi="Arial" w:hint="default"/>
      </w:rPr>
    </w:lvl>
    <w:lvl w:ilvl="2" w:tplc="D0BE81C2" w:tentative="1">
      <w:start w:val="1"/>
      <w:numFmt w:val="bullet"/>
      <w:lvlText w:val="•"/>
      <w:lvlJc w:val="left"/>
      <w:pPr>
        <w:tabs>
          <w:tab w:val="num" w:pos="2160"/>
        </w:tabs>
        <w:ind w:left="2160" w:hanging="360"/>
      </w:pPr>
      <w:rPr>
        <w:rFonts w:ascii="Arial" w:hAnsi="Arial" w:hint="default"/>
      </w:rPr>
    </w:lvl>
    <w:lvl w:ilvl="3" w:tplc="907ECD08" w:tentative="1">
      <w:start w:val="1"/>
      <w:numFmt w:val="bullet"/>
      <w:lvlText w:val="•"/>
      <w:lvlJc w:val="left"/>
      <w:pPr>
        <w:tabs>
          <w:tab w:val="num" w:pos="2880"/>
        </w:tabs>
        <w:ind w:left="2880" w:hanging="360"/>
      </w:pPr>
      <w:rPr>
        <w:rFonts w:ascii="Arial" w:hAnsi="Arial" w:hint="default"/>
      </w:rPr>
    </w:lvl>
    <w:lvl w:ilvl="4" w:tplc="48E86E00" w:tentative="1">
      <w:start w:val="1"/>
      <w:numFmt w:val="bullet"/>
      <w:lvlText w:val="•"/>
      <w:lvlJc w:val="left"/>
      <w:pPr>
        <w:tabs>
          <w:tab w:val="num" w:pos="3600"/>
        </w:tabs>
        <w:ind w:left="3600" w:hanging="360"/>
      </w:pPr>
      <w:rPr>
        <w:rFonts w:ascii="Arial" w:hAnsi="Arial" w:hint="default"/>
      </w:rPr>
    </w:lvl>
    <w:lvl w:ilvl="5" w:tplc="6B948800" w:tentative="1">
      <w:start w:val="1"/>
      <w:numFmt w:val="bullet"/>
      <w:lvlText w:val="•"/>
      <w:lvlJc w:val="left"/>
      <w:pPr>
        <w:tabs>
          <w:tab w:val="num" w:pos="4320"/>
        </w:tabs>
        <w:ind w:left="4320" w:hanging="360"/>
      </w:pPr>
      <w:rPr>
        <w:rFonts w:ascii="Arial" w:hAnsi="Arial" w:hint="default"/>
      </w:rPr>
    </w:lvl>
    <w:lvl w:ilvl="6" w:tplc="F2265946" w:tentative="1">
      <w:start w:val="1"/>
      <w:numFmt w:val="bullet"/>
      <w:lvlText w:val="•"/>
      <w:lvlJc w:val="left"/>
      <w:pPr>
        <w:tabs>
          <w:tab w:val="num" w:pos="5040"/>
        </w:tabs>
        <w:ind w:left="5040" w:hanging="360"/>
      </w:pPr>
      <w:rPr>
        <w:rFonts w:ascii="Arial" w:hAnsi="Arial" w:hint="default"/>
      </w:rPr>
    </w:lvl>
    <w:lvl w:ilvl="7" w:tplc="46ACB8CE" w:tentative="1">
      <w:start w:val="1"/>
      <w:numFmt w:val="bullet"/>
      <w:lvlText w:val="•"/>
      <w:lvlJc w:val="left"/>
      <w:pPr>
        <w:tabs>
          <w:tab w:val="num" w:pos="5760"/>
        </w:tabs>
        <w:ind w:left="5760" w:hanging="360"/>
      </w:pPr>
      <w:rPr>
        <w:rFonts w:ascii="Arial" w:hAnsi="Arial" w:hint="default"/>
      </w:rPr>
    </w:lvl>
    <w:lvl w:ilvl="8" w:tplc="4FA24AF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8"/>
  </w:num>
  <w:num w:numId="5">
    <w:abstractNumId w:val="0"/>
  </w:num>
  <w:num w:numId="6">
    <w:abstractNumId w:val="7"/>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CCB"/>
    <w:rsid w:val="00000F2A"/>
    <w:rsid w:val="00003F4D"/>
    <w:rsid w:val="000434DE"/>
    <w:rsid w:val="00046F19"/>
    <w:rsid w:val="0010780E"/>
    <w:rsid w:val="0015071B"/>
    <w:rsid w:val="00193AEA"/>
    <w:rsid w:val="001A74A8"/>
    <w:rsid w:val="0020537F"/>
    <w:rsid w:val="00206CAB"/>
    <w:rsid w:val="00221AEE"/>
    <w:rsid w:val="002912FC"/>
    <w:rsid w:val="00291AA1"/>
    <w:rsid w:val="002D7132"/>
    <w:rsid w:val="002D77E3"/>
    <w:rsid w:val="002F1AA8"/>
    <w:rsid w:val="00302893"/>
    <w:rsid w:val="00345B2B"/>
    <w:rsid w:val="0036216D"/>
    <w:rsid w:val="00362AE9"/>
    <w:rsid w:val="003860A1"/>
    <w:rsid w:val="003A17B2"/>
    <w:rsid w:val="003E1D70"/>
    <w:rsid w:val="003F0324"/>
    <w:rsid w:val="003F2B91"/>
    <w:rsid w:val="00420C12"/>
    <w:rsid w:val="00423A31"/>
    <w:rsid w:val="004247BB"/>
    <w:rsid w:val="0045624F"/>
    <w:rsid w:val="004947B6"/>
    <w:rsid w:val="004B795C"/>
    <w:rsid w:val="00501915"/>
    <w:rsid w:val="005737DB"/>
    <w:rsid w:val="005943AF"/>
    <w:rsid w:val="005A03A6"/>
    <w:rsid w:val="006079CF"/>
    <w:rsid w:val="006532DC"/>
    <w:rsid w:val="00674592"/>
    <w:rsid w:val="007050D7"/>
    <w:rsid w:val="00747231"/>
    <w:rsid w:val="00751F30"/>
    <w:rsid w:val="0079681C"/>
    <w:rsid w:val="007B40DC"/>
    <w:rsid w:val="007D2558"/>
    <w:rsid w:val="0081113C"/>
    <w:rsid w:val="008453CA"/>
    <w:rsid w:val="00853D4B"/>
    <w:rsid w:val="00854956"/>
    <w:rsid w:val="00890630"/>
    <w:rsid w:val="0089636E"/>
    <w:rsid w:val="00924BB0"/>
    <w:rsid w:val="00942DEB"/>
    <w:rsid w:val="00966B36"/>
    <w:rsid w:val="009E1DE1"/>
    <w:rsid w:val="00A15CAF"/>
    <w:rsid w:val="00A2258C"/>
    <w:rsid w:val="00A255E2"/>
    <w:rsid w:val="00A42D26"/>
    <w:rsid w:val="00A457AC"/>
    <w:rsid w:val="00A87396"/>
    <w:rsid w:val="00A91EF7"/>
    <w:rsid w:val="00AA06BF"/>
    <w:rsid w:val="00AD720E"/>
    <w:rsid w:val="00AE1A2B"/>
    <w:rsid w:val="00B308FB"/>
    <w:rsid w:val="00B50DD2"/>
    <w:rsid w:val="00B514A8"/>
    <w:rsid w:val="00B6571B"/>
    <w:rsid w:val="00B819A1"/>
    <w:rsid w:val="00BE16E5"/>
    <w:rsid w:val="00C42FCF"/>
    <w:rsid w:val="00C575FE"/>
    <w:rsid w:val="00C63B09"/>
    <w:rsid w:val="00CA731A"/>
    <w:rsid w:val="00CE39CA"/>
    <w:rsid w:val="00D37EDB"/>
    <w:rsid w:val="00D80891"/>
    <w:rsid w:val="00DA7CCB"/>
    <w:rsid w:val="00E42748"/>
    <w:rsid w:val="00EB7B00"/>
    <w:rsid w:val="00EE55F1"/>
    <w:rsid w:val="00F44AFB"/>
    <w:rsid w:val="00F9409B"/>
    <w:rsid w:val="00F97D24"/>
    <w:rsid w:val="00FD02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3B6BA"/>
  <w15:chartTrackingRefBased/>
  <w15:docId w15:val="{944A4D13-2DC4-47CC-A1CD-7A8D88E4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CCB"/>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DA7CCB"/>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DA7CCB"/>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DA7CCB"/>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DA7CCB"/>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DA7CCB"/>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DA7CCB"/>
    <w:pPr>
      <w:numPr>
        <w:ilvl w:val="5"/>
        <w:numId w:val="1"/>
      </w:numPr>
      <w:spacing w:before="240" w:after="60"/>
      <w:outlineLvl w:val="5"/>
    </w:pPr>
    <w:rPr>
      <w:b/>
      <w:bCs/>
    </w:rPr>
  </w:style>
  <w:style w:type="paragraph" w:styleId="Heading7">
    <w:name w:val="heading 7"/>
    <w:basedOn w:val="Normal"/>
    <w:next w:val="Normal"/>
    <w:link w:val="Heading7Char"/>
    <w:qFormat/>
    <w:rsid w:val="00DA7CCB"/>
    <w:pPr>
      <w:numPr>
        <w:ilvl w:val="6"/>
        <w:numId w:val="1"/>
      </w:numPr>
      <w:spacing w:before="240" w:after="60"/>
      <w:outlineLvl w:val="6"/>
    </w:pPr>
    <w:rPr>
      <w:sz w:val="24"/>
      <w:szCs w:val="24"/>
    </w:rPr>
  </w:style>
  <w:style w:type="paragraph" w:styleId="Heading8">
    <w:name w:val="heading 8"/>
    <w:basedOn w:val="Normal"/>
    <w:next w:val="Normal"/>
    <w:link w:val="Heading8Char"/>
    <w:qFormat/>
    <w:rsid w:val="00DA7CCB"/>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DA7CC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7CCB"/>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DA7CCB"/>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DA7CCB"/>
    <w:rPr>
      <w:rFonts w:ascii="Times New Roman" w:eastAsiaTheme="minorEastAsia" w:hAnsi="Times New Roman" w:cs="Times New Roman"/>
      <w:b/>
    </w:rPr>
  </w:style>
  <w:style w:type="character" w:customStyle="1" w:styleId="Heading4Char">
    <w:name w:val="Heading 4 Char"/>
    <w:basedOn w:val="DefaultParagraphFont"/>
    <w:link w:val="Heading4"/>
    <w:rsid w:val="00DA7CCB"/>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DA7CCB"/>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DA7CCB"/>
    <w:rPr>
      <w:rFonts w:ascii="Times New Roman" w:eastAsiaTheme="minorEastAsia" w:hAnsi="Times New Roman" w:cs="Times New Roman"/>
      <w:b/>
      <w:bCs/>
    </w:rPr>
  </w:style>
  <w:style w:type="character" w:customStyle="1" w:styleId="Heading7Char">
    <w:name w:val="Heading 7 Char"/>
    <w:basedOn w:val="DefaultParagraphFont"/>
    <w:link w:val="Heading7"/>
    <w:rsid w:val="00DA7CCB"/>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DA7CCB"/>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DA7CCB"/>
    <w:rPr>
      <w:rFonts w:ascii="Arial" w:eastAsiaTheme="minorEastAsia" w:hAnsi="Arial" w:cs="Arial"/>
    </w:rPr>
  </w:style>
  <w:style w:type="paragraph" w:styleId="FootnoteText">
    <w:name w:val="footnote text"/>
    <w:basedOn w:val="Normal"/>
    <w:link w:val="FootnoteTextChar"/>
    <w:semiHidden/>
    <w:rsid w:val="00DA7CCB"/>
    <w:rPr>
      <w:sz w:val="20"/>
      <w:szCs w:val="20"/>
    </w:rPr>
  </w:style>
  <w:style w:type="character" w:customStyle="1" w:styleId="FootnoteTextChar">
    <w:name w:val="Footnote Text Char"/>
    <w:basedOn w:val="DefaultParagraphFont"/>
    <w:link w:val="FootnoteText"/>
    <w:semiHidden/>
    <w:rsid w:val="00DA7CCB"/>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A7CCB"/>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A7CCB"/>
    <w:rPr>
      <w:rFonts w:ascii="Times New Roman" w:eastAsiaTheme="minorEastAsia" w:hAnsi="Times New Roman" w:cs="Times New Roman"/>
    </w:rPr>
  </w:style>
  <w:style w:type="character" w:styleId="CommentReference">
    <w:name w:val="annotation reference"/>
    <w:basedOn w:val="DefaultParagraphFont"/>
    <w:rsid w:val="00DA7CCB"/>
    <w:rPr>
      <w:sz w:val="21"/>
      <w:szCs w:val="21"/>
    </w:rPr>
  </w:style>
  <w:style w:type="paragraph" w:styleId="CommentText">
    <w:name w:val="annotation text"/>
    <w:basedOn w:val="Normal"/>
    <w:link w:val="CommentTextChar"/>
    <w:rsid w:val="00DA7CCB"/>
    <w:pPr>
      <w:jc w:val="left"/>
    </w:pPr>
  </w:style>
  <w:style w:type="character" w:customStyle="1" w:styleId="CommentTextChar">
    <w:name w:val="Comment Text Char"/>
    <w:basedOn w:val="DefaultParagraphFont"/>
    <w:link w:val="CommentText"/>
    <w:rsid w:val="00DA7CCB"/>
    <w:rPr>
      <w:rFonts w:ascii="Times New Roman" w:eastAsiaTheme="minorEastAsia" w:hAnsi="Times New Roman" w:cs="Times New Roman"/>
    </w:rPr>
  </w:style>
  <w:style w:type="paragraph" w:styleId="ListParagraph">
    <w:name w:val="List Paragraph"/>
    <w:basedOn w:val="Normal"/>
    <w:uiPriority w:val="34"/>
    <w:qFormat/>
    <w:rsid w:val="00DA7CCB"/>
    <w:pPr>
      <w:ind w:left="720"/>
      <w:contextualSpacing/>
    </w:pPr>
  </w:style>
  <w:style w:type="paragraph" w:styleId="BalloonText">
    <w:name w:val="Balloon Text"/>
    <w:basedOn w:val="Normal"/>
    <w:link w:val="BalloonTextChar"/>
    <w:uiPriority w:val="99"/>
    <w:semiHidden/>
    <w:unhideWhenUsed/>
    <w:rsid w:val="00DA7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CB"/>
    <w:rPr>
      <w:rFonts w:ascii="Segoe UI" w:eastAsiaTheme="minorEastAsia" w:hAnsi="Segoe UI" w:cs="Segoe UI"/>
      <w:sz w:val="18"/>
      <w:szCs w:val="18"/>
    </w:rPr>
  </w:style>
  <w:style w:type="table" w:styleId="GridTable3">
    <w:name w:val="Grid Table 3"/>
    <w:basedOn w:val="TableNormal"/>
    <w:uiPriority w:val="48"/>
    <w:rsid w:val="00751F3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Caption">
    <w:name w:val="caption"/>
    <w:basedOn w:val="Normal"/>
    <w:next w:val="Normal"/>
    <w:uiPriority w:val="35"/>
    <w:unhideWhenUsed/>
    <w:qFormat/>
    <w:rsid w:val="00501915"/>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7050D7"/>
    <w:pPr>
      <w:jc w:val="both"/>
    </w:pPr>
    <w:rPr>
      <w:b/>
      <w:bCs/>
      <w:sz w:val="20"/>
      <w:szCs w:val="20"/>
    </w:rPr>
  </w:style>
  <w:style w:type="character" w:customStyle="1" w:styleId="CommentSubjectChar">
    <w:name w:val="Comment Subject Char"/>
    <w:basedOn w:val="CommentTextChar"/>
    <w:link w:val="CommentSubject"/>
    <w:uiPriority w:val="99"/>
    <w:semiHidden/>
    <w:rsid w:val="007050D7"/>
    <w:rPr>
      <w:rFonts w:ascii="Times New Roman" w:eastAsiaTheme="minorEastAsia" w:hAnsi="Times New Roman" w:cs="Times New Roman"/>
      <w:b/>
      <w:bCs/>
      <w:sz w:val="20"/>
      <w:szCs w:val="20"/>
    </w:rPr>
  </w:style>
  <w:style w:type="character" w:styleId="FootnoteReference">
    <w:name w:val="footnote reference"/>
    <w:basedOn w:val="DefaultParagraphFont"/>
    <w:uiPriority w:val="99"/>
    <w:semiHidden/>
    <w:unhideWhenUsed/>
    <w:rsid w:val="00D37E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8506">
      <w:bodyDiv w:val="1"/>
      <w:marLeft w:val="0"/>
      <w:marRight w:val="0"/>
      <w:marTop w:val="0"/>
      <w:marBottom w:val="0"/>
      <w:divBdr>
        <w:top w:val="none" w:sz="0" w:space="0" w:color="auto"/>
        <w:left w:val="none" w:sz="0" w:space="0" w:color="auto"/>
        <w:bottom w:val="none" w:sz="0" w:space="0" w:color="auto"/>
        <w:right w:val="none" w:sz="0" w:space="0" w:color="auto"/>
      </w:divBdr>
    </w:div>
    <w:div w:id="207570111">
      <w:bodyDiv w:val="1"/>
      <w:marLeft w:val="0"/>
      <w:marRight w:val="0"/>
      <w:marTop w:val="0"/>
      <w:marBottom w:val="0"/>
      <w:divBdr>
        <w:top w:val="none" w:sz="0" w:space="0" w:color="auto"/>
        <w:left w:val="none" w:sz="0" w:space="0" w:color="auto"/>
        <w:bottom w:val="none" w:sz="0" w:space="0" w:color="auto"/>
        <w:right w:val="none" w:sz="0" w:space="0" w:color="auto"/>
      </w:divBdr>
    </w:div>
    <w:div w:id="264967585">
      <w:bodyDiv w:val="1"/>
      <w:marLeft w:val="0"/>
      <w:marRight w:val="0"/>
      <w:marTop w:val="0"/>
      <w:marBottom w:val="0"/>
      <w:divBdr>
        <w:top w:val="none" w:sz="0" w:space="0" w:color="auto"/>
        <w:left w:val="none" w:sz="0" w:space="0" w:color="auto"/>
        <w:bottom w:val="none" w:sz="0" w:space="0" w:color="auto"/>
        <w:right w:val="none" w:sz="0" w:space="0" w:color="auto"/>
      </w:divBdr>
      <w:divsChild>
        <w:div w:id="56517282">
          <w:marLeft w:val="446"/>
          <w:marRight w:val="0"/>
          <w:marTop w:val="0"/>
          <w:marBottom w:val="0"/>
          <w:divBdr>
            <w:top w:val="none" w:sz="0" w:space="0" w:color="auto"/>
            <w:left w:val="none" w:sz="0" w:space="0" w:color="auto"/>
            <w:bottom w:val="none" w:sz="0" w:space="0" w:color="auto"/>
            <w:right w:val="none" w:sz="0" w:space="0" w:color="auto"/>
          </w:divBdr>
        </w:div>
        <w:div w:id="82336793">
          <w:marLeft w:val="446"/>
          <w:marRight w:val="0"/>
          <w:marTop w:val="0"/>
          <w:marBottom w:val="0"/>
          <w:divBdr>
            <w:top w:val="none" w:sz="0" w:space="0" w:color="auto"/>
            <w:left w:val="none" w:sz="0" w:space="0" w:color="auto"/>
            <w:bottom w:val="none" w:sz="0" w:space="0" w:color="auto"/>
            <w:right w:val="none" w:sz="0" w:space="0" w:color="auto"/>
          </w:divBdr>
        </w:div>
        <w:div w:id="1044208559">
          <w:marLeft w:val="547"/>
          <w:marRight w:val="0"/>
          <w:marTop w:val="0"/>
          <w:marBottom w:val="0"/>
          <w:divBdr>
            <w:top w:val="none" w:sz="0" w:space="0" w:color="auto"/>
            <w:left w:val="none" w:sz="0" w:space="0" w:color="auto"/>
            <w:bottom w:val="none" w:sz="0" w:space="0" w:color="auto"/>
            <w:right w:val="none" w:sz="0" w:space="0" w:color="auto"/>
          </w:divBdr>
        </w:div>
        <w:div w:id="484979515">
          <w:marLeft w:val="850"/>
          <w:marRight w:val="0"/>
          <w:marTop w:val="0"/>
          <w:marBottom w:val="0"/>
          <w:divBdr>
            <w:top w:val="none" w:sz="0" w:space="0" w:color="auto"/>
            <w:left w:val="none" w:sz="0" w:space="0" w:color="auto"/>
            <w:bottom w:val="none" w:sz="0" w:space="0" w:color="auto"/>
            <w:right w:val="none" w:sz="0" w:space="0" w:color="auto"/>
          </w:divBdr>
        </w:div>
        <w:div w:id="491720166">
          <w:marLeft w:val="850"/>
          <w:marRight w:val="0"/>
          <w:marTop w:val="0"/>
          <w:marBottom w:val="0"/>
          <w:divBdr>
            <w:top w:val="none" w:sz="0" w:space="0" w:color="auto"/>
            <w:left w:val="none" w:sz="0" w:space="0" w:color="auto"/>
            <w:bottom w:val="none" w:sz="0" w:space="0" w:color="auto"/>
            <w:right w:val="none" w:sz="0" w:space="0" w:color="auto"/>
          </w:divBdr>
        </w:div>
        <w:div w:id="67381810">
          <w:marLeft w:val="547"/>
          <w:marRight w:val="0"/>
          <w:marTop w:val="0"/>
          <w:marBottom w:val="0"/>
          <w:divBdr>
            <w:top w:val="none" w:sz="0" w:space="0" w:color="auto"/>
            <w:left w:val="none" w:sz="0" w:space="0" w:color="auto"/>
            <w:bottom w:val="none" w:sz="0" w:space="0" w:color="auto"/>
            <w:right w:val="none" w:sz="0" w:space="0" w:color="auto"/>
          </w:divBdr>
        </w:div>
        <w:div w:id="139153553">
          <w:marLeft w:val="850"/>
          <w:marRight w:val="0"/>
          <w:marTop w:val="0"/>
          <w:marBottom w:val="0"/>
          <w:divBdr>
            <w:top w:val="none" w:sz="0" w:space="0" w:color="auto"/>
            <w:left w:val="none" w:sz="0" w:space="0" w:color="auto"/>
            <w:bottom w:val="none" w:sz="0" w:space="0" w:color="auto"/>
            <w:right w:val="none" w:sz="0" w:space="0" w:color="auto"/>
          </w:divBdr>
        </w:div>
        <w:div w:id="1307005269">
          <w:marLeft w:val="850"/>
          <w:marRight w:val="0"/>
          <w:marTop w:val="0"/>
          <w:marBottom w:val="180"/>
          <w:divBdr>
            <w:top w:val="none" w:sz="0" w:space="0" w:color="auto"/>
            <w:left w:val="none" w:sz="0" w:space="0" w:color="auto"/>
            <w:bottom w:val="none" w:sz="0" w:space="0" w:color="auto"/>
            <w:right w:val="none" w:sz="0" w:space="0" w:color="auto"/>
          </w:divBdr>
        </w:div>
      </w:divsChild>
    </w:div>
    <w:div w:id="443840374">
      <w:bodyDiv w:val="1"/>
      <w:marLeft w:val="0"/>
      <w:marRight w:val="0"/>
      <w:marTop w:val="0"/>
      <w:marBottom w:val="0"/>
      <w:divBdr>
        <w:top w:val="none" w:sz="0" w:space="0" w:color="auto"/>
        <w:left w:val="none" w:sz="0" w:space="0" w:color="auto"/>
        <w:bottom w:val="none" w:sz="0" w:space="0" w:color="auto"/>
        <w:right w:val="none" w:sz="0" w:space="0" w:color="auto"/>
      </w:divBdr>
    </w:div>
    <w:div w:id="492839651">
      <w:bodyDiv w:val="1"/>
      <w:marLeft w:val="0"/>
      <w:marRight w:val="0"/>
      <w:marTop w:val="0"/>
      <w:marBottom w:val="0"/>
      <w:divBdr>
        <w:top w:val="none" w:sz="0" w:space="0" w:color="auto"/>
        <w:left w:val="none" w:sz="0" w:space="0" w:color="auto"/>
        <w:bottom w:val="none" w:sz="0" w:space="0" w:color="auto"/>
        <w:right w:val="none" w:sz="0" w:space="0" w:color="auto"/>
      </w:divBdr>
      <w:divsChild>
        <w:div w:id="1182626427">
          <w:marLeft w:val="547"/>
          <w:marRight w:val="0"/>
          <w:marTop w:val="0"/>
          <w:marBottom w:val="0"/>
          <w:divBdr>
            <w:top w:val="none" w:sz="0" w:space="0" w:color="auto"/>
            <w:left w:val="none" w:sz="0" w:space="0" w:color="auto"/>
            <w:bottom w:val="none" w:sz="0" w:space="0" w:color="auto"/>
            <w:right w:val="none" w:sz="0" w:space="0" w:color="auto"/>
          </w:divBdr>
        </w:div>
        <w:div w:id="1162697785">
          <w:marLeft w:val="850"/>
          <w:marRight w:val="0"/>
          <w:marTop w:val="0"/>
          <w:marBottom w:val="0"/>
          <w:divBdr>
            <w:top w:val="none" w:sz="0" w:space="0" w:color="auto"/>
            <w:left w:val="none" w:sz="0" w:space="0" w:color="auto"/>
            <w:bottom w:val="none" w:sz="0" w:space="0" w:color="auto"/>
            <w:right w:val="none" w:sz="0" w:space="0" w:color="auto"/>
          </w:divBdr>
        </w:div>
        <w:div w:id="1793359474">
          <w:marLeft w:val="850"/>
          <w:marRight w:val="0"/>
          <w:marTop w:val="0"/>
          <w:marBottom w:val="0"/>
          <w:divBdr>
            <w:top w:val="none" w:sz="0" w:space="0" w:color="auto"/>
            <w:left w:val="none" w:sz="0" w:space="0" w:color="auto"/>
            <w:bottom w:val="none" w:sz="0" w:space="0" w:color="auto"/>
            <w:right w:val="none" w:sz="0" w:space="0" w:color="auto"/>
          </w:divBdr>
        </w:div>
        <w:div w:id="342516957">
          <w:marLeft w:val="547"/>
          <w:marRight w:val="0"/>
          <w:marTop w:val="0"/>
          <w:marBottom w:val="0"/>
          <w:divBdr>
            <w:top w:val="none" w:sz="0" w:space="0" w:color="auto"/>
            <w:left w:val="none" w:sz="0" w:space="0" w:color="auto"/>
            <w:bottom w:val="none" w:sz="0" w:space="0" w:color="auto"/>
            <w:right w:val="none" w:sz="0" w:space="0" w:color="auto"/>
          </w:divBdr>
        </w:div>
        <w:div w:id="801002738">
          <w:marLeft w:val="850"/>
          <w:marRight w:val="0"/>
          <w:marTop w:val="0"/>
          <w:marBottom w:val="0"/>
          <w:divBdr>
            <w:top w:val="none" w:sz="0" w:space="0" w:color="auto"/>
            <w:left w:val="none" w:sz="0" w:space="0" w:color="auto"/>
            <w:bottom w:val="none" w:sz="0" w:space="0" w:color="auto"/>
            <w:right w:val="none" w:sz="0" w:space="0" w:color="auto"/>
          </w:divBdr>
        </w:div>
        <w:div w:id="1610350819">
          <w:marLeft w:val="850"/>
          <w:marRight w:val="0"/>
          <w:marTop w:val="0"/>
          <w:marBottom w:val="180"/>
          <w:divBdr>
            <w:top w:val="none" w:sz="0" w:space="0" w:color="auto"/>
            <w:left w:val="none" w:sz="0" w:space="0" w:color="auto"/>
            <w:bottom w:val="none" w:sz="0" w:space="0" w:color="auto"/>
            <w:right w:val="none" w:sz="0" w:space="0" w:color="auto"/>
          </w:divBdr>
        </w:div>
      </w:divsChild>
    </w:div>
    <w:div w:id="524489881">
      <w:bodyDiv w:val="1"/>
      <w:marLeft w:val="0"/>
      <w:marRight w:val="0"/>
      <w:marTop w:val="0"/>
      <w:marBottom w:val="0"/>
      <w:divBdr>
        <w:top w:val="none" w:sz="0" w:space="0" w:color="auto"/>
        <w:left w:val="none" w:sz="0" w:space="0" w:color="auto"/>
        <w:bottom w:val="none" w:sz="0" w:space="0" w:color="auto"/>
        <w:right w:val="none" w:sz="0" w:space="0" w:color="auto"/>
      </w:divBdr>
      <w:divsChild>
        <w:div w:id="1591961902">
          <w:marLeft w:val="446"/>
          <w:marRight w:val="0"/>
          <w:marTop w:val="0"/>
          <w:marBottom w:val="0"/>
          <w:divBdr>
            <w:top w:val="none" w:sz="0" w:space="0" w:color="auto"/>
            <w:left w:val="none" w:sz="0" w:space="0" w:color="auto"/>
            <w:bottom w:val="none" w:sz="0" w:space="0" w:color="auto"/>
            <w:right w:val="none" w:sz="0" w:space="0" w:color="auto"/>
          </w:divBdr>
        </w:div>
        <w:div w:id="132261244">
          <w:marLeft w:val="446"/>
          <w:marRight w:val="0"/>
          <w:marTop w:val="0"/>
          <w:marBottom w:val="0"/>
          <w:divBdr>
            <w:top w:val="none" w:sz="0" w:space="0" w:color="auto"/>
            <w:left w:val="none" w:sz="0" w:space="0" w:color="auto"/>
            <w:bottom w:val="none" w:sz="0" w:space="0" w:color="auto"/>
            <w:right w:val="none" w:sz="0" w:space="0" w:color="auto"/>
          </w:divBdr>
        </w:div>
      </w:divsChild>
    </w:div>
    <w:div w:id="105828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A3BB8-63DC-4FB1-88EC-A23CE78F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2992</Words>
  <Characters>17059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Abedini, Navid</dc:creator>
  <cp:keywords/>
  <dc:description/>
  <cp:lastModifiedBy>Abedini, Navid</cp:lastModifiedBy>
  <cp:revision>16</cp:revision>
  <dcterms:created xsi:type="dcterms:W3CDTF">2016-09-30T22:12:00Z</dcterms:created>
  <dcterms:modified xsi:type="dcterms:W3CDTF">2016-10-01T01:31:00Z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1765705596</vt:i4>
  </property>
  <property fmtid="{D5CDD505-2E9C-101B-9397-08002B2CF9AE}" pid="3" name="_NewReviewCycle">
    <vt:lpwstr/>
  </property>
  <property fmtid="{D5CDD505-2E9C-101B-9397-08002B2CF9AE}" pid="4" name="_EmailSubject">
    <vt:lpwstr>sync contribution draft</vt:lpwstr>
  </property>
  <property fmtid="{D5CDD505-2E9C-101B-9397-08002B2CF9AE}" pid="5" name="_AuthorEmail">
    <vt:lpwstr>bsadiq@qti.qualcomm.com</vt:lpwstr>
  </property>
  <property fmtid="{D5CDD505-2E9C-101B-9397-08002B2CF9AE}" pid="6" name="_AuthorEmailDisplayName">
    <vt:lpwstr>Sadiq, Bilal</vt:lpwstr>
  </property>
  <property fmtid="{D5CDD505-2E9C-101B-9397-08002B2CF9AE}" pid="7" name="_PreviousAdHocReviewCycleID">
    <vt:i4>567257076</vt:i4>
  </property>
</Properties>
</file>